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6A1" w:rsidRDefault="002526A1">
      <w:pPr>
        <w:pStyle w:val="Szvegtrzs"/>
        <w:spacing w:before="10"/>
        <w:ind w:left="0"/>
        <w:rPr>
          <w:rFonts w:ascii="Times New Roman"/>
          <w:sz w:val="46"/>
        </w:rPr>
      </w:pPr>
    </w:p>
    <w:p w:rsidR="002526A1" w:rsidRDefault="00C842FE">
      <w:pPr>
        <w:pStyle w:val="Cmsor1"/>
        <w:jc w:val="right"/>
      </w:pPr>
      <w:r>
        <w:rPr>
          <w:lang w:val="hu"/>
        </w:rPr>
        <w:t>ADATLAP</w:t>
      </w:r>
    </w:p>
    <w:p w:rsidR="002526A1" w:rsidRDefault="00C842FE">
      <w:pPr>
        <w:spacing w:before="49"/>
        <w:ind w:left="788"/>
        <w:rPr>
          <w:sz w:val="20"/>
        </w:rPr>
      </w:pPr>
      <w:r>
        <w:rPr>
          <w:lang w:val="hu"/>
        </w:rPr>
        <w:br w:type="column"/>
      </w:r>
      <w:r>
        <w:rPr>
          <w:lang w:val="hu"/>
        </w:rPr>
        <w:lastRenderedPageBreak/>
        <w:t xml:space="preserve">Újraszerkesztés </w:t>
      </w:r>
      <w:r>
        <w:rPr>
          <w:sz w:val="20"/>
          <w:lang w:val="hu"/>
        </w:rPr>
        <w:t>dátuma: 15.09..2022</w:t>
      </w:r>
    </w:p>
    <w:p w:rsidR="002526A1" w:rsidRDefault="002526A1">
      <w:pPr>
        <w:rPr>
          <w:sz w:val="20"/>
        </w:rPr>
        <w:sectPr w:rsidR="002526A1">
          <w:headerReference w:type="default" r:id="rId7"/>
          <w:footerReference w:type="default" r:id="rId8"/>
          <w:type w:val="continuous"/>
          <w:pgSz w:w="11910" w:h="16840"/>
          <w:pgMar w:top="1600" w:right="680" w:bottom="440" w:left="1140" w:header="266" w:footer="251" w:gutter="0"/>
          <w:pgNumType w:start="1"/>
          <w:cols w:num="2" w:space="708" w:equalWidth="0">
            <w:col w:w="5930" w:space="40"/>
            <w:col w:w="4120"/>
          </w:cols>
        </w:sectPr>
      </w:pPr>
    </w:p>
    <w:p w:rsidR="002526A1" w:rsidRDefault="002526A1">
      <w:pPr>
        <w:pStyle w:val="Szvegtrzs"/>
        <w:ind w:left="0"/>
        <w:rPr>
          <w:sz w:val="29"/>
        </w:rPr>
      </w:pPr>
    </w:p>
    <w:p w:rsidR="002526A1" w:rsidRDefault="002526A1">
      <w:pPr>
        <w:rPr>
          <w:sz w:val="29"/>
        </w:rPr>
        <w:sectPr w:rsidR="002526A1">
          <w:type w:val="continuous"/>
          <w:pgSz w:w="11910" w:h="16840"/>
          <w:pgMar w:top="1600" w:right="680" w:bottom="440" w:left="1140" w:header="266" w:footer="251" w:gutter="0"/>
          <w:cols w:space="708"/>
        </w:sectPr>
      </w:pPr>
    </w:p>
    <w:p w:rsidR="002526A1" w:rsidRDefault="002526A1">
      <w:pPr>
        <w:pStyle w:val="Szvegtrzs"/>
        <w:ind w:left="0"/>
      </w:pPr>
    </w:p>
    <w:p w:rsidR="002526A1" w:rsidRDefault="002526A1">
      <w:pPr>
        <w:pStyle w:val="Szvegtrzs"/>
        <w:ind w:left="0"/>
        <w:rPr>
          <w:sz w:val="35"/>
        </w:rPr>
      </w:pPr>
    </w:p>
    <w:p w:rsidR="002526A1" w:rsidRDefault="00C842FE">
      <w:pPr>
        <w:pStyle w:val="Listaszerbekezds"/>
        <w:numPr>
          <w:ilvl w:val="0"/>
          <w:numId w:val="2"/>
        </w:numPr>
        <w:tabs>
          <w:tab w:val="left" w:pos="517"/>
        </w:tabs>
        <w:spacing w:line="240" w:lineRule="auto"/>
        <w:ind w:hanging="241"/>
        <w:rPr>
          <w:b/>
          <w:sz w:val="24"/>
        </w:rPr>
      </w:pPr>
      <w:r>
        <w:rPr>
          <w:b/>
          <w:bCs/>
          <w:sz w:val="24"/>
          <w:lang w:val="hu"/>
        </w:rPr>
        <w:t>Termékleírás</w:t>
      </w:r>
    </w:p>
    <w:p w:rsidR="002526A1" w:rsidRDefault="00C842FE">
      <w:pPr>
        <w:pStyle w:val="Cmsor1"/>
        <w:spacing w:before="35" w:line="390" w:lineRule="exact"/>
        <w:ind w:left="273" w:right="2564"/>
      </w:pPr>
      <w:r>
        <w:rPr>
          <w:b w:val="0"/>
          <w:bCs w:val="0"/>
          <w:lang w:val="hu"/>
        </w:rPr>
        <w:br w:type="column"/>
      </w:r>
      <w:r>
        <w:rPr>
          <w:lang w:val="hu"/>
        </w:rPr>
        <w:lastRenderedPageBreak/>
        <w:t>RAGADÓS</w:t>
      </w:r>
    </w:p>
    <w:p w:rsidR="002526A1" w:rsidRDefault="00C842FE">
      <w:pPr>
        <w:pStyle w:val="Cmsor2"/>
        <w:ind w:left="273" w:right="2564" w:firstLine="0"/>
        <w:jc w:val="center"/>
      </w:pPr>
      <w:r>
        <w:rPr>
          <w:lang w:val="hu"/>
        </w:rPr>
        <w:t>SUPERALBA BELTÉRI MOSHATÓ FESTÉK</w:t>
      </w:r>
    </w:p>
    <w:p w:rsidR="002526A1" w:rsidRDefault="002526A1">
      <w:pPr>
        <w:jc w:val="center"/>
        <w:sectPr w:rsidR="002526A1">
          <w:type w:val="continuous"/>
          <w:pgSz w:w="11910" w:h="16840"/>
          <w:pgMar w:top="1600" w:right="680" w:bottom="440" w:left="1140" w:header="266" w:footer="251" w:gutter="0"/>
          <w:cols w:num="2" w:space="708" w:equalWidth="0">
            <w:col w:w="2203" w:space="40"/>
            <w:col w:w="7847"/>
          </w:cols>
        </w:sectPr>
      </w:pPr>
    </w:p>
    <w:p w:rsidR="002526A1" w:rsidRDefault="00C842FE">
      <w:pPr>
        <w:pStyle w:val="Szvegtrzs"/>
        <w:ind w:right="466"/>
      </w:pPr>
      <w:r>
        <w:rPr>
          <w:lang w:val="hu"/>
        </w:rPr>
        <w:lastRenderedPageBreak/>
        <w:t>A Sticky mosható festék vizes diszperzióban, kopolimereken, pigmenteken, extendereken és adalékanyagokan alapuló.</w:t>
      </w:r>
    </w:p>
    <w:p w:rsidR="002526A1" w:rsidRDefault="00C842FE">
      <w:pPr>
        <w:pStyle w:val="Szvegtrzs"/>
        <w:spacing w:line="242" w:lineRule="auto"/>
        <w:ind w:right="466"/>
      </w:pPr>
      <w:r>
        <w:rPr>
          <w:lang w:val="hu"/>
        </w:rPr>
        <w:t>Színezhető Sticky Color - szuperkoncentrált pigmentekkel, amelyeket vízalapú ásványfestéshez terveztek, vagy a számítógépes színező rendszer s</w:t>
      </w:r>
      <w:r>
        <w:rPr>
          <w:lang w:val="hu"/>
        </w:rPr>
        <w:t>egítségével.</w:t>
      </w:r>
    </w:p>
    <w:p w:rsidR="002526A1" w:rsidRDefault="002526A1">
      <w:pPr>
        <w:pStyle w:val="Szvegtrzs"/>
        <w:spacing w:before="5"/>
        <w:ind w:left="0"/>
        <w:rPr>
          <w:sz w:val="23"/>
        </w:rPr>
      </w:pPr>
    </w:p>
    <w:p w:rsidR="002526A1" w:rsidRDefault="00C842FE">
      <w:pPr>
        <w:pStyle w:val="Cmsor2"/>
        <w:numPr>
          <w:ilvl w:val="0"/>
          <w:numId w:val="2"/>
        </w:numPr>
        <w:tabs>
          <w:tab w:val="left" w:pos="517"/>
        </w:tabs>
        <w:ind w:hanging="241"/>
      </w:pPr>
      <w:r>
        <w:rPr>
          <w:lang w:val="hu"/>
        </w:rPr>
        <w:t>Felhasználási terület</w:t>
      </w:r>
    </w:p>
    <w:p w:rsidR="002526A1" w:rsidRDefault="00C842FE">
      <w:pPr>
        <w:pStyle w:val="Szvegtrzs"/>
        <w:spacing w:line="242" w:lineRule="auto"/>
        <w:ind w:right="369"/>
      </w:pPr>
      <w:r>
        <w:rPr>
          <w:lang w:val="hu"/>
        </w:rPr>
        <w:t>Belső falak (mész- és cementvakolatok, beton- és egyéb ásványi tartók) dekorációs és védőburkolatára szolgál új vagy régi szerkezeteken belül.</w:t>
      </w:r>
    </w:p>
    <w:p w:rsidR="002526A1" w:rsidRDefault="002526A1">
      <w:pPr>
        <w:pStyle w:val="Szvegtrzs"/>
        <w:spacing w:before="7"/>
        <w:ind w:left="0"/>
        <w:rPr>
          <w:sz w:val="23"/>
        </w:rPr>
      </w:pPr>
    </w:p>
    <w:p w:rsidR="002526A1" w:rsidRDefault="00C842FE">
      <w:pPr>
        <w:pStyle w:val="Cmsor2"/>
        <w:numPr>
          <w:ilvl w:val="0"/>
          <w:numId w:val="2"/>
        </w:numPr>
        <w:tabs>
          <w:tab w:val="left" w:pos="517"/>
        </w:tabs>
        <w:ind w:hanging="241"/>
      </w:pPr>
      <w:r>
        <w:rPr>
          <w:lang w:val="hu"/>
        </w:rPr>
        <w:t>Főbb jellemzők</w:t>
      </w:r>
    </w:p>
    <w:p w:rsidR="002526A1" w:rsidRDefault="00C842FE">
      <w:pPr>
        <w:pStyle w:val="Listaszerbekezds"/>
        <w:numPr>
          <w:ilvl w:val="1"/>
          <w:numId w:val="2"/>
        </w:numPr>
        <w:tabs>
          <w:tab w:val="left" w:pos="1716"/>
          <w:tab w:val="left" w:pos="1717"/>
        </w:tabs>
        <w:spacing w:line="305" w:lineRule="exact"/>
        <w:rPr>
          <w:sz w:val="24"/>
        </w:rPr>
      </w:pPr>
      <w:r>
        <w:rPr>
          <w:sz w:val="24"/>
          <w:lang w:val="hu"/>
        </w:rPr>
        <w:t>kiváló felhordhatóságot mutat;</w:t>
      </w:r>
    </w:p>
    <w:p w:rsidR="002526A1" w:rsidRDefault="00C842FE">
      <w:pPr>
        <w:pStyle w:val="Listaszerbekezds"/>
        <w:numPr>
          <w:ilvl w:val="1"/>
          <w:numId w:val="2"/>
        </w:numPr>
        <w:tabs>
          <w:tab w:val="left" w:pos="1716"/>
          <w:tab w:val="left" w:pos="1717"/>
        </w:tabs>
        <w:spacing w:before="2" w:line="305" w:lineRule="exact"/>
        <w:rPr>
          <w:sz w:val="24"/>
        </w:rPr>
      </w:pPr>
      <w:r>
        <w:rPr>
          <w:sz w:val="24"/>
          <w:lang w:val="hu"/>
        </w:rPr>
        <w:t>nagy lefedettséggel rendelkezik;</w:t>
      </w:r>
    </w:p>
    <w:p w:rsidR="002526A1" w:rsidRDefault="00C842FE">
      <w:pPr>
        <w:pStyle w:val="Listaszerbekezds"/>
        <w:numPr>
          <w:ilvl w:val="1"/>
          <w:numId w:val="2"/>
        </w:numPr>
        <w:tabs>
          <w:tab w:val="left" w:pos="1716"/>
          <w:tab w:val="left" w:pos="1717"/>
        </w:tabs>
        <w:spacing w:line="305" w:lineRule="exact"/>
        <w:rPr>
          <w:sz w:val="24"/>
        </w:rPr>
      </w:pPr>
      <w:r>
        <w:rPr>
          <w:sz w:val="24"/>
          <w:lang w:val="hu"/>
        </w:rPr>
        <w:t>jól tapad a megfelelően előkészített felületre;</w:t>
      </w:r>
    </w:p>
    <w:p w:rsidR="002526A1" w:rsidRDefault="00C842FE">
      <w:pPr>
        <w:pStyle w:val="Listaszerbekezds"/>
        <w:numPr>
          <w:ilvl w:val="1"/>
          <w:numId w:val="2"/>
        </w:numPr>
        <w:tabs>
          <w:tab w:val="left" w:pos="1716"/>
          <w:tab w:val="left" w:pos="1717"/>
        </w:tabs>
        <w:spacing w:before="3" w:line="305" w:lineRule="exact"/>
        <w:rPr>
          <w:sz w:val="24"/>
        </w:rPr>
      </w:pPr>
      <w:r>
        <w:rPr>
          <w:sz w:val="24"/>
          <w:lang w:val="hu"/>
        </w:rPr>
        <w:t>gyorsan szárad;</w:t>
      </w:r>
    </w:p>
    <w:p w:rsidR="002526A1" w:rsidRDefault="00C842FE">
      <w:pPr>
        <w:pStyle w:val="Listaszerbekezds"/>
        <w:numPr>
          <w:ilvl w:val="1"/>
          <w:numId w:val="2"/>
        </w:numPr>
        <w:tabs>
          <w:tab w:val="left" w:pos="1716"/>
          <w:tab w:val="left" w:pos="1717"/>
        </w:tabs>
        <w:spacing w:line="305" w:lineRule="exact"/>
        <w:rPr>
          <w:sz w:val="24"/>
        </w:rPr>
      </w:pPr>
      <w:r>
        <w:rPr>
          <w:sz w:val="24"/>
          <w:lang w:val="hu"/>
        </w:rPr>
        <w:t>változatos színezés és árnyalás lehetőségét kínálja.</w:t>
      </w:r>
    </w:p>
    <w:p w:rsidR="002526A1" w:rsidRDefault="002526A1">
      <w:pPr>
        <w:pStyle w:val="Szvegtrzs"/>
        <w:spacing w:before="2"/>
        <w:ind w:left="0"/>
      </w:pPr>
    </w:p>
    <w:p w:rsidR="002526A1" w:rsidRDefault="00C842FE">
      <w:pPr>
        <w:pStyle w:val="Listaszerbekezds"/>
        <w:numPr>
          <w:ilvl w:val="0"/>
          <w:numId w:val="2"/>
        </w:numPr>
        <w:tabs>
          <w:tab w:val="left" w:pos="517"/>
        </w:tabs>
        <w:spacing w:line="240" w:lineRule="auto"/>
        <w:ind w:hanging="241"/>
        <w:rPr>
          <w:b/>
          <w:sz w:val="24"/>
        </w:rPr>
      </w:pPr>
      <w:r>
        <w:rPr>
          <w:b/>
          <w:bCs/>
          <w:sz w:val="24"/>
          <w:lang w:val="hu"/>
        </w:rPr>
        <w:t>Műszaki jellemzők</w:t>
      </w:r>
    </w:p>
    <w:tbl>
      <w:tblPr>
        <w:tblStyle w:val="TableNormal"/>
        <w:tblW w:w="0" w:type="auto"/>
        <w:tblInd w:w="15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3625"/>
        <w:gridCol w:w="2700"/>
        <w:gridCol w:w="2792"/>
      </w:tblGrid>
      <w:tr w:rsidR="002526A1">
        <w:trPr>
          <w:trHeight w:val="586"/>
        </w:trPr>
        <w:tc>
          <w:tcPr>
            <w:tcW w:w="696" w:type="dxa"/>
          </w:tcPr>
          <w:p w:rsidR="002526A1" w:rsidRDefault="00C842FE" w:rsidP="00C842FE">
            <w:pPr>
              <w:pStyle w:val="TableParagraph"/>
              <w:spacing w:line="291" w:lineRule="exact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Krit. sz.</w:t>
            </w:r>
            <w:bookmarkStart w:id="0" w:name="_GoBack"/>
            <w:bookmarkEnd w:id="0"/>
          </w:p>
        </w:tc>
        <w:tc>
          <w:tcPr>
            <w:tcW w:w="3625" w:type="dxa"/>
          </w:tcPr>
          <w:p w:rsidR="002526A1" w:rsidRDefault="00C842FE">
            <w:pPr>
              <w:pStyle w:val="TableParagraph"/>
              <w:spacing w:before="147"/>
              <w:ind w:left="145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JELLEMZŐ</w:t>
            </w:r>
          </w:p>
        </w:tc>
        <w:tc>
          <w:tcPr>
            <w:tcW w:w="2700" w:type="dxa"/>
          </w:tcPr>
          <w:p w:rsidR="002526A1" w:rsidRDefault="00C842FE">
            <w:pPr>
              <w:pStyle w:val="TableParagraph"/>
              <w:spacing w:line="291" w:lineRule="exact"/>
              <w:ind w:left="206" w:right="150"/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ELFOGADHATÓSÁGI</w:t>
            </w:r>
          </w:p>
          <w:p w:rsidR="002526A1" w:rsidRDefault="00C842FE">
            <w:pPr>
              <w:pStyle w:val="TableParagraph"/>
              <w:spacing w:line="276" w:lineRule="exact"/>
              <w:ind w:left="203" w:right="150"/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FELTÉTELEK</w:t>
            </w:r>
          </w:p>
        </w:tc>
        <w:tc>
          <w:tcPr>
            <w:tcW w:w="2792" w:type="dxa"/>
          </w:tcPr>
          <w:p w:rsidR="002526A1" w:rsidRDefault="00C842FE">
            <w:pPr>
              <w:pStyle w:val="TableParagraph"/>
              <w:spacing w:line="292" w:lineRule="exact"/>
              <w:ind w:left="322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ELEMZÉSI MÓDSZER</w:t>
            </w:r>
          </w:p>
        </w:tc>
      </w:tr>
      <w:tr w:rsidR="002526A1">
        <w:trPr>
          <w:trHeight w:val="243"/>
        </w:trPr>
        <w:tc>
          <w:tcPr>
            <w:tcW w:w="696" w:type="dxa"/>
          </w:tcPr>
          <w:p w:rsidR="002526A1" w:rsidRDefault="00C842FE">
            <w:pPr>
              <w:pStyle w:val="TableParagraph"/>
              <w:spacing w:before="1" w:line="222" w:lineRule="exact"/>
              <w:ind w:left="301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0</w:t>
            </w:r>
          </w:p>
        </w:tc>
        <w:tc>
          <w:tcPr>
            <w:tcW w:w="3625" w:type="dxa"/>
          </w:tcPr>
          <w:p w:rsidR="002526A1" w:rsidRDefault="00C842FE">
            <w:pPr>
              <w:pStyle w:val="TableParagraph"/>
              <w:spacing w:before="1" w:line="222" w:lineRule="exact"/>
              <w:ind w:left="53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1</w:t>
            </w:r>
          </w:p>
        </w:tc>
        <w:tc>
          <w:tcPr>
            <w:tcW w:w="2700" w:type="dxa"/>
          </w:tcPr>
          <w:p w:rsidR="002526A1" w:rsidRDefault="00C842FE">
            <w:pPr>
              <w:pStyle w:val="TableParagraph"/>
              <w:spacing w:before="1" w:line="222" w:lineRule="exact"/>
              <w:ind w:left="58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2</w:t>
            </w:r>
          </w:p>
        </w:tc>
        <w:tc>
          <w:tcPr>
            <w:tcW w:w="2792" w:type="dxa"/>
          </w:tcPr>
          <w:p w:rsidR="002526A1" w:rsidRDefault="00C842FE">
            <w:pPr>
              <w:pStyle w:val="TableParagraph"/>
              <w:spacing w:before="1" w:line="222" w:lineRule="exact"/>
              <w:ind w:left="1153" w:right="1102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3.</w:t>
            </w:r>
          </w:p>
        </w:tc>
      </w:tr>
      <w:tr w:rsidR="002526A1">
        <w:trPr>
          <w:trHeight w:val="295"/>
        </w:trPr>
        <w:tc>
          <w:tcPr>
            <w:tcW w:w="696" w:type="dxa"/>
          </w:tcPr>
          <w:p w:rsidR="002526A1" w:rsidRDefault="00C842FE">
            <w:pPr>
              <w:pStyle w:val="TableParagraph"/>
              <w:spacing w:line="276" w:lineRule="exact"/>
              <w:ind w:left="281"/>
              <w:rPr>
                <w:b/>
                <w:i/>
                <w:sz w:val="24"/>
              </w:rPr>
            </w:pPr>
            <w:r>
              <w:rPr>
                <w:b/>
                <w:bCs/>
                <w:i/>
                <w:iCs/>
                <w:sz w:val="24"/>
                <w:lang w:val="hu"/>
              </w:rPr>
              <w:t>A</w:t>
            </w:r>
          </w:p>
        </w:tc>
        <w:tc>
          <w:tcPr>
            <w:tcW w:w="9117" w:type="dxa"/>
            <w:gridSpan w:val="3"/>
          </w:tcPr>
          <w:p w:rsidR="002526A1" w:rsidRDefault="00C842FE">
            <w:pPr>
              <w:pStyle w:val="TableParagraph"/>
              <w:spacing w:before="1"/>
              <w:rPr>
                <w:b/>
                <w:i/>
                <w:sz w:val="20"/>
              </w:rPr>
            </w:pPr>
            <w:r>
              <w:rPr>
                <w:b/>
                <w:bCs/>
                <w:i/>
                <w:iCs/>
                <w:sz w:val="20"/>
                <w:lang w:val="hu"/>
              </w:rPr>
              <w:t>Termékjellemzők</w:t>
            </w:r>
          </w:p>
        </w:tc>
      </w:tr>
      <w:tr w:rsidR="002526A1">
        <w:trPr>
          <w:trHeight w:val="486"/>
        </w:trPr>
        <w:tc>
          <w:tcPr>
            <w:tcW w:w="696" w:type="dxa"/>
            <w:tcBorders>
              <w:bottom w:val="single" w:sz="6" w:space="0" w:color="000000"/>
            </w:tcBorders>
          </w:tcPr>
          <w:p w:rsidR="002526A1" w:rsidRDefault="00C842FE">
            <w:pPr>
              <w:pStyle w:val="TableParagraph"/>
              <w:spacing w:line="292" w:lineRule="exact"/>
              <w:ind w:left="261"/>
              <w:rPr>
                <w:sz w:val="24"/>
              </w:rPr>
            </w:pPr>
            <w:r>
              <w:rPr>
                <w:sz w:val="24"/>
                <w:lang w:val="hu"/>
              </w:rPr>
              <w:t>1.</w:t>
            </w:r>
          </w:p>
        </w:tc>
        <w:tc>
          <w:tcPr>
            <w:tcW w:w="3625" w:type="dxa"/>
            <w:tcBorders>
              <w:bottom w:val="single" w:sz="6" w:space="0" w:color="000000"/>
            </w:tcBorders>
          </w:tcPr>
          <w:p w:rsidR="002526A1" w:rsidRDefault="00C842FE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lang w:val="hu"/>
              </w:rPr>
              <w:t>Megjelenés</w:t>
            </w:r>
          </w:p>
        </w:tc>
        <w:tc>
          <w:tcPr>
            <w:tcW w:w="2700" w:type="dxa"/>
            <w:tcBorders>
              <w:bottom w:val="single" w:sz="6" w:space="0" w:color="000000"/>
            </w:tcBorders>
          </w:tcPr>
          <w:p w:rsidR="002526A1" w:rsidRDefault="00C842FE">
            <w:pPr>
              <w:pStyle w:val="TableParagraph"/>
              <w:spacing w:line="240" w:lineRule="atLeast"/>
              <w:ind w:left="398" w:hanging="20"/>
              <w:rPr>
                <w:sz w:val="20"/>
              </w:rPr>
            </w:pPr>
            <w:r>
              <w:rPr>
                <w:sz w:val="20"/>
                <w:lang w:val="hu"/>
              </w:rPr>
              <w:t>homogén diszperzió, lerakódás- és szennyeződésmentes</w:t>
            </w:r>
          </w:p>
        </w:tc>
        <w:tc>
          <w:tcPr>
            <w:tcW w:w="2792" w:type="dxa"/>
            <w:tcBorders>
              <w:bottom w:val="single" w:sz="6" w:space="0" w:color="000000"/>
            </w:tcBorders>
          </w:tcPr>
          <w:p w:rsidR="002526A1" w:rsidRDefault="00C842FE">
            <w:pPr>
              <w:pStyle w:val="TableParagraph"/>
              <w:spacing w:before="1"/>
              <w:ind w:left="1154" w:right="1102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vizuális</w:t>
            </w:r>
          </w:p>
        </w:tc>
      </w:tr>
      <w:tr w:rsidR="002526A1">
        <w:trPr>
          <w:trHeight w:val="290"/>
        </w:trPr>
        <w:tc>
          <w:tcPr>
            <w:tcW w:w="696" w:type="dxa"/>
            <w:tcBorders>
              <w:top w:val="single" w:sz="6" w:space="0" w:color="000000"/>
              <w:bottom w:val="single" w:sz="6" w:space="0" w:color="000000"/>
            </w:tcBorders>
          </w:tcPr>
          <w:p w:rsidR="002526A1" w:rsidRDefault="00C842FE">
            <w:pPr>
              <w:pStyle w:val="TableParagraph"/>
              <w:spacing w:line="271" w:lineRule="exact"/>
              <w:ind w:left="261"/>
              <w:rPr>
                <w:sz w:val="24"/>
              </w:rPr>
            </w:pPr>
            <w:r>
              <w:rPr>
                <w:sz w:val="24"/>
                <w:lang w:val="hu"/>
              </w:rPr>
              <w:t>2.</w:t>
            </w:r>
          </w:p>
        </w:tc>
        <w:tc>
          <w:tcPr>
            <w:tcW w:w="3625" w:type="dxa"/>
            <w:tcBorders>
              <w:top w:val="single" w:sz="6" w:space="0" w:color="000000"/>
              <w:bottom w:val="single" w:sz="6" w:space="0" w:color="000000"/>
            </w:tcBorders>
          </w:tcPr>
          <w:p w:rsidR="002526A1" w:rsidRDefault="00C842FE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lang w:val="hu"/>
              </w:rPr>
              <w:t>Szín</w:t>
            </w:r>
          </w:p>
        </w:tc>
        <w:tc>
          <w:tcPr>
            <w:tcW w:w="2700" w:type="dxa"/>
            <w:tcBorders>
              <w:top w:val="single" w:sz="6" w:space="0" w:color="000000"/>
              <w:bottom w:val="single" w:sz="6" w:space="0" w:color="000000"/>
            </w:tcBorders>
          </w:tcPr>
          <w:p w:rsidR="002526A1" w:rsidRDefault="00C842FE">
            <w:pPr>
              <w:pStyle w:val="TableParagraph"/>
              <w:spacing w:before="25"/>
              <w:ind w:left="202" w:right="150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fehér</w:t>
            </w:r>
          </w:p>
        </w:tc>
        <w:tc>
          <w:tcPr>
            <w:tcW w:w="2792" w:type="dxa"/>
            <w:tcBorders>
              <w:top w:val="single" w:sz="6" w:space="0" w:color="000000"/>
              <w:bottom w:val="single" w:sz="6" w:space="0" w:color="000000"/>
            </w:tcBorders>
          </w:tcPr>
          <w:p w:rsidR="002526A1" w:rsidRDefault="00C842FE">
            <w:pPr>
              <w:pStyle w:val="TableParagraph"/>
              <w:spacing w:before="1"/>
              <w:ind w:left="1154" w:right="1102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vizuális</w:t>
            </w:r>
          </w:p>
        </w:tc>
      </w:tr>
      <w:tr w:rsidR="002526A1">
        <w:trPr>
          <w:trHeight w:val="292"/>
        </w:trPr>
        <w:tc>
          <w:tcPr>
            <w:tcW w:w="696" w:type="dxa"/>
            <w:tcBorders>
              <w:top w:val="single" w:sz="6" w:space="0" w:color="000000"/>
              <w:bottom w:val="single" w:sz="6" w:space="0" w:color="000000"/>
            </w:tcBorders>
          </w:tcPr>
          <w:p w:rsidR="002526A1" w:rsidRDefault="00C842FE">
            <w:pPr>
              <w:pStyle w:val="TableParagraph"/>
              <w:spacing w:before="2" w:line="271" w:lineRule="exact"/>
              <w:ind w:left="261"/>
              <w:rPr>
                <w:sz w:val="24"/>
              </w:rPr>
            </w:pPr>
            <w:r>
              <w:rPr>
                <w:sz w:val="24"/>
                <w:lang w:val="hu"/>
              </w:rPr>
              <w:t>3.</w:t>
            </w:r>
          </w:p>
        </w:tc>
        <w:tc>
          <w:tcPr>
            <w:tcW w:w="3625" w:type="dxa"/>
            <w:tcBorders>
              <w:top w:val="single" w:sz="6" w:space="0" w:color="000000"/>
              <w:bottom w:val="single" w:sz="6" w:space="0" w:color="000000"/>
            </w:tcBorders>
          </w:tcPr>
          <w:p w:rsidR="002526A1" w:rsidRDefault="00C842FE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  <w:lang w:val="hu"/>
              </w:rPr>
              <w:t>Sűrűség 23</w:t>
            </w:r>
            <w:r>
              <w:rPr>
                <w:sz w:val="20"/>
                <w:vertAlign w:val="superscript"/>
                <w:lang w:val="hu"/>
              </w:rPr>
              <w:t>0</w:t>
            </w:r>
            <w:r>
              <w:rPr>
                <w:sz w:val="20"/>
                <w:lang w:val="hu"/>
              </w:rPr>
              <w:t>C-on, g/cm</w:t>
            </w:r>
            <w:r>
              <w:rPr>
                <w:sz w:val="20"/>
                <w:vertAlign w:val="superscript"/>
                <w:lang w:val="hu"/>
              </w:rPr>
              <w:t>3</w:t>
            </w:r>
          </w:p>
        </w:tc>
        <w:tc>
          <w:tcPr>
            <w:tcW w:w="2700" w:type="dxa"/>
            <w:tcBorders>
              <w:top w:val="single" w:sz="6" w:space="0" w:color="000000"/>
              <w:bottom w:val="single" w:sz="6" w:space="0" w:color="000000"/>
            </w:tcBorders>
          </w:tcPr>
          <w:p w:rsidR="002526A1" w:rsidRDefault="00C842FE">
            <w:pPr>
              <w:pStyle w:val="TableParagraph"/>
              <w:spacing w:before="28"/>
              <w:ind w:left="200" w:right="150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1,5 – 1,7</w:t>
            </w:r>
          </w:p>
        </w:tc>
        <w:tc>
          <w:tcPr>
            <w:tcW w:w="2792" w:type="dxa"/>
            <w:tcBorders>
              <w:top w:val="single" w:sz="6" w:space="0" w:color="000000"/>
              <w:bottom w:val="single" w:sz="6" w:space="0" w:color="000000"/>
            </w:tcBorders>
          </w:tcPr>
          <w:p w:rsidR="002526A1" w:rsidRDefault="00C842FE">
            <w:pPr>
              <w:pStyle w:val="TableParagraph"/>
              <w:spacing w:before="4"/>
              <w:ind w:left="467"/>
              <w:rPr>
                <w:sz w:val="20"/>
              </w:rPr>
            </w:pPr>
            <w:r>
              <w:rPr>
                <w:sz w:val="20"/>
                <w:lang w:val="hu"/>
              </w:rPr>
              <w:t>SR EN ISO 2811-1:2016</w:t>
            </w:r>
          </w:p>
        </w:tc>
      </w:tr>
      <w:tr w:rsidR="002526A1">
        <w:trPr>
          <w:trHeight w:val="293"/>
        </w:trPr>
        <w:tc>
          <w:tcPr>
            <w:tcW w:w="696" w:type="dxa"/>
            <w:tcBorders>
              <w:top w:val="single" w:sz="6" w:space="0" w:color="000000"/>
              <w:bottom w:val="single" w:sz="6" w:space="0" w:color="000000"/>
            </w:tcBorders>
          </w:tcPr>
          <w:p w:rsidR="002526A1" w:rsidRDefault="00C842FE">
            <w:pPr>
              <w:pStyle w:val="TableParagraph"/>
              <w:spacing w:before="2" w:line="271" w:lineRule="exact"/>
              <w:ind w:left="261"/>
              <w:rPr>
                <w:sz w:val="24"/>
              </w:rPr>
            </w:pPr>
            <w:r>
              <w:rPr>
                <w:sz w:val="24"/>
                <w:lang w:val="hu"/>
              </w:rPr>
              <w:t>4.</w:t>
            </w:r>
          </w:p>
        </w:tc>
        <w:tc>
          <w:tcPr>
            <w:tcW w:w="3625" w:type="dxa"/>
            <w:tcBorders>
              <w:top w:val="single" w:sz="6" w:space="0" w:color="000000"/>
              <w:bottom w:val="single" w:sz="6" w:space="0" w:color="000000"/>
            </w:tcBorders>
          </w:tcPr>
          <w:p w:rsidR="002526A1" w:rsidRDefault="00C842FE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  <w:lang w:val="hu"/>
              </w:rPr>
              <w:t>pH</w:t>
            </w:r>
          </w:p>
        </w:tc>
        <w:tc>
          <w:tcPr>
            <w:tcW w:w="2700" w:type="dxa"/>
            <w:tcBorders>
              <w:top w:val="single" w:sz="6" w:space="0" w:color="000000"/>
              <w:bottom w:val="single" w:sz="6" w:space="0" w:color="000000"/>
            </w:tcBorders>
          </w:tcPr>
          <w:p w:rsidR="002526A1" w:rsidRDefault="00C842FE">
            <w:pPr>
              <w:pStyle w:val="TableParagraph"/>
              <w:spacing w:before="28"/>
              <w:ind w:left="200" w:right="150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7,5 - 9</w:t>
            </w:r>
          </w:p>
        </w:tc>
        <w:tc>
          <w:tcPr>
            <w:tcW w:w="2792" w:type="dxa"/>
            <w:tcBorders>
              <w:top w:val="single" w:sz="6" w:space="0" w:color="000000"/>
              <w:bottom w:val="single" w:sz="6" w:space="0" w:color="000000"/>
            </w:tcBorders>
          </w:tcPr>
          <w:p w:rsidR="002526A1" w:rsidRDefault="00C842FE">
            <w:pPr>
              <w:pStyle w:val="TableParagraph"/>
              <w:spacing w:before="4"/>
              <w:ind w:left="519"/>
              <w:rPr>
                <w:sz w:val="20"/>
              </w:rPr>
            </w:pPr>
            <w:r>
              <w:rPr>
                <w:sz w:val="20"/>
                <w:lang w:val="hu"/>
              </w:rPr>
              <w:t>SR EN ISO 787-9:2019</w:t>
            </w:r>
          </w:p>
        </w:tc>
      </w:tr>
      <w:tr w:rsidR="002526A1">
        <w:trPr>
          <w:trHeight w:val="294"/>
        </w:trPr>
        <w:tc>
          <w:tcPr>
            <w:tcW w:w="696" w:type="dxa"/>
            <w:tcBorders>
              <w:top w:val="single" w:sz="6" w:space="0" w:color="000000"/>
            </w:tcBorders>
          </w:tcPr>
          <w:p w:rsidR="002526A1" w:rsidRDefault="00C842FE">
            <w:pPr>
              <w:pStyle w:val="TableParagraph"/>
              <w:spacing w:before="1" w:line="272" w:lineRule="exact"/>
              <w:ind w:left="261"/>
              <w:rPr>
                <w:sz w:val="24"/>
              </w:rPr>
            </w:pPr>
            <w:r>
              <w:rPr>
                <w:sz w:val="24"/>
                <w:lang w:val="hu"/>
              </w:rPr>
              <w:t>5.</w:t>
            </w:r>
          </w:p>
        </w:tc>
        <w:tc>
          <w:tcPr>
            <w:tcW w:w="3625" w:type="dxa"/>
            <w:tcBorders>
              <w:top w:val="single" w:sz="6" w:space="0" w:color="000000"/>
            </w:tcBorders>
          </w:tcPr>
          <w:p w:rsidR="002526A1" w:rsidRDefault="00C842FE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  <w:lang w:val="hu"/>
              </w:rPr>
              <w:t>Nem illékonyanyag-tartalom, %</w:t>
            </w:r>
          </w:p>
        </w:tc>
        <w:tc>
          <w:tcPr>
            <w:tcW w:w="2700" w:type="dxa"/>
            <w:tcBorders>
              <w:top w:val="single" w:sz="6" w:space="0" w:color="000000"/>
            </w:tcBorders>
          </w:tcPr>
          <w:p w:rsidR="002526A1" w:rsidRDefault="00C842FE">
            <w:pPr>
              <w:pStyle w:val="TableParagraph"/>
              <w:spacing w:before="28"/>
              <w:ind w:left="200" w:right="150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65 ± 2</w:t>
            </w:r>
          </w:p>
        </w:tc>
        <w:tc>
          <w:tcPr>
            <w:tcW w:w="2792" w:type="dxa"/>
            <w:tcBorders>
              <w:top w:val="single" w:sz="6" w:space="0" w:color="000000"/>
            </w:tcBorders>
          </w:tcPr>
          <w:p w:rsidR="002526A1" w:rsidRDefault="00C842FE">
            <w:pPr>
              <w:pStyle w:val="TableParagraph"/>
              <w:spacing w:before="4"/>
              <w:ind w:left="547"/>
              <w:rPr>
                <w:sz w:val="20"/>
              </w:rPr>
            </w:pPr>
            <w:r>
              <w:rPr>
                <w:sz w:val="20"/>
                <w:lang w:val="hu"/>
              </w:rPr>
              <w:t>SR EN ISO 3251:2008</w:t>
            </w:r>
          </w:p>
        </w:tc>
      </w:tr>
      <w:tr w:rsidR="002526A1">
        <w:trPr>
          <w:trHeight w:val="303"/>
        </w:trPr>
        <w:tc>
          <w:tcPr>
            <w:tcW w:w="696" w:type="dxa"/>
          </w:tcPr>
          <w:p w:rsidR="002526A1" w:rsidRDefault="00C842FE">
            <w:pPr>
              <w:pStyle w:val="TableParagraph"/>
              <w:spacing w:line="283" w:lineRule="exact"/>
              <w:ind w:left="285"/>
              <w:rPr>
                <w:b/>
                <w:i/>
                <w:sz w:val="24"/>
              </w:rPr>
            </w:pPr>
            <w:r>
              <w:rPr>
                <w:b/>
                <w:bCs/>
                <w:i/>
                <w:iCs/>
                <w:sz w:val="24"/>
                <w:lang w:val="hu"/>
              </w:rPr>
              <w:t>B</w:t>
            </w:r>
          </w:p>
        </w:tc>
        <w:tc>
          <w:tcPr>
            <w:tcW w:w="9117" w:type="dxa"/>
            <w:gridSpan w:val="3"/>
          </w:tcPr>
          <w:p w:rsidR="002526A1" w:rsidRDefault="00C842FE">
            <w:pPr>
              <w:pStyle w:val="TableParagraph"/>
              <w:spacing w:before="1"/>
              <w:rPr>
                <w:b/>
                <w:i/>
                <w:sz w:val="20"/>
              </w:rPr>
            </w:pPr>
            <w:r>
              <w:rPr>
                <w:b/>
                <w:bCs/>
                <w:i/>
                <w:iCs/>
                <w:sz w:val="20"/>
                <w:lang w:val="hu"/>
              </w:rPr>
              <w:t>A réteg jellemzői</w:t>
            </w:r>
          </w:p>
        </w:tc>
      </w:tr>
      <w:tr w:rsidR="002526A1">
        <w:trPr>
          <w:trHeight w:val="290"/>
        </w:trPr>
        <w:tc>
          <w:tcPr>
            <w:tcW w:w="696" w:type="dxa"/>
            <w:tcBorders>
              <w:bottom w:val="single" w:sz="12" w:space="0" w:color="000000"/>
            </w:tcBorders>
          </w:tcPr>
          <w:p w:rsidR="002526A1" w:rsidRDefault="00C842FE">
            <w:pPr>
              <w:pStyle w:val="TableParagraph"/>
              <w:spacing w:line="271" w:lineRule="exact"/>
              <w:ind w:left="261"/>
              <w:rPr>
                <w:sz w:val="24"/>
              </w:rPr>
            </w:pPr>
            <w:r>
              <w:rPr>
                <w:sz w:val="24"/>
                <w:lang w:val="hu"/>
              </w:rPr>
              <w:t>1.</w:t>
            </w:r>
          </w:p>
        </w:tc>
        <w:tc>
          <w:tcPr>
            <w:tcW w:w="3625" w:type="dxa"/>
            <w:tcBorders>
              <w:bottom w:val="single" w:sz="12" w:space="0" w:color="000000"/>
            </w:tcBorders>
          </w:tcPr>
          <w:p w:rsidR="002526A1" w:rsidRDefault="00C842FE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lang w:val="hu"/>
              </w:rPr>
              <w:t>Film megjelenésű</w:t>
            </w:r>
          </w:p>
        </w:tc>
        <w:tc>
          <w:tcPr>
            <w:tcW w:w="2700" w:type="dxa"/>
            <w:tcBorders>
              <w:bottom w:val="single" w:sz="12" w:space="0" w:color="000000"/>
            </w:tcBorders>
          </w:tcPr>
          <w:p w:rsidR="002526A1" w:rsidRDefault="00C842FE">
            <w:pPr>
              <w:pStyle w:val="TableParagraph"/>
              <w:spacing w:before="25"/>
              <w:ind w:left="205" w:right="150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egyenletes film, fehér</w:t>
            </w:r>
          </w:p>
        </w:tc>
        <w:tc>
          <w:tcPr>
            <w:tcW w:w="2792" w:type="dxa"/>
            <w:tcBorders>
              <w:bottom w:val="single" w:sz="12" w:space="0" w:color="000000"/>
            </w:tcBorders>
          </w:tcPr>
          <w:p w:rsidR="002526A1" w:rsidRDefault="00C842FE">
            <w:pPr>
              <w:pStyle w:val="TableParagraph"/>
              <w:spacing w:before="1"/>
              <w:ind w:left="1154" w:right="1102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vizuális</w:t>
            </w:r>
          </w:p>
        </w:tc>
      </w:tr>
      <w:tr w:rsidR="002526A1">
        <w:trPr>
          <w:trHeight w:val="490"/>
        </w:trPr>
        <w:tc>
          <w:tcPr>
            <w:tcW w:w="696" w:type="dxa"/>
            <w:tcBorders>
              <w:top w:val="single" w:sz="12" w:space="0" w:color="000000"/>
              <w:bottom w:val="single" w:sz="12" w:space="0" w:color="000000"/>
            </w:tcBorders>
          </w:tcPr>
          <w:p w:rsidR="002526A1" w:rsidRDefault="00C842FE">
            <w:pPr>
              <w:pStyle w:val="TableParagraph"/>
              <w:spacing w:before="2"/>
              <w:ind w:left="261"/>
              <w:rPr>
                <w:sz w:val="24"/>
              </w:rPr>
            </w:pPr>
            <w:r>
              <w:rPr>
                <w:sz w:val="24"/>
                <w:lang w:val="hu"/>
              </w:rPr>
              <w:t>2.</w:t>
            </w:r>
          </w:p>
        </w:tc>
        <w:tc>
          <w:tcPr>
            <w:tcW w:w="3625" w:type="dxa"/>
            <w:tcBorders>
              <w:top w:val="single" w:sz="12" w:space="0" w:color="000000"/>
              <w:bottom w:val="single" w:sz="12" w:space="0" w:color="000000"/>
            </w:tcBorders>
          </w:tcPr>
          <w:p w:rsidR="002526A1" w:rsidRDefault="00C842FE">
            <w:pPr>
              <w:pStyle w:val="TableParagraph"/>
              <w:spacing w:line="240" w:lineRule="atLeast"/>
              <w:rPr>
                <w:sz w:val="20"/>
              </w:rPr>
            </w:pPr>
            <w:r>
              <w:rPr>
                <w:sz w:val="20"/>
                <w:lang w:val="hu"/>
              </w:rPr>
              <w:t>Látszólag teljes száradási teszt, órákban</w:t>
            </w:r>
          </w:p>
        </w:tc>
        <w:tc>
          <w:tcPr>
            <w:tcW w:w="2700" w:type="dxa"/>
            <w:tcBorders>
              <w:top w:val="single" w:sz="12" w:space="0" w:color="000000"/>
              <w:bottom w:val="single" w:sz="12" w:space="0" w:color="000000"/>
            </w:tcBorders>
          </w:tcPr>
          <w:p w:rsidR="002526A1" w:rsidRDefault="002526A1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2526A1" w:rsidRDefault="00C842FE">
            <w:pPr>
              <w:pStyle w:val="TableParagraph"/>
              <w:spacing w:line="221" w:lineRule="exact"/>
              <w:ind w:left="58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4</w:t>
            </w:r>
          </w:p>
        </w:tc>
        <w:tc>
          <w:tcPr>
            <w:tcW w:w="2792" w:type="dxa"/>
            <w:tcBorders>
              <w:top w:val="single" w:sz="12" w:space="0" w:color="000000"/>
              <w:bottom w:val="single" w:sz="12" w:space="0" w:color="000000"/>
            </w:tcBorders>
          </w:tcPr>
          <w:p w:rsidR="002526A1" w:rsidRDefault="00C842FE">
            <w:pPr>
              <w:pStyle w:val="TableParagraph"/>
              <w:spacing w:before="4"/>
              <w:ind w:left="547"/>
              <w:rPr>
                <w:sz w:val="20"/>
              </w:rPr>
            </w:pPr>
            <w:r>
              <w:rPr>
                <w:sz w:val="20"/>
                <w:lang w:val="hu"/>
              </w:rPr>
              <w:t>SR EN ISO 9117:2012</w:t>
            </w:r>
          </w:p>
        </w:tc>
      </w:tr>
      <w:tr w:rsidR="002526A1">
        <w:trPr>
          <w:trHeight w:val="486"/>
        </w:trPr>
        <w:tc>
          <w:tcPr>
            <w:tcW w:w="696" w:type="dxa"/>
            <w:tcBorders>
              <w:top w:val="single" w:sz="12" w:space="0" w:color="000000"/>
              <w:bottom w:val="single" w:sz="12" w:space="0" w:color="000000"/>
            </w:tcBorders>
          </w:tcPr>
          <w:p w:rsidR="002526A1" w:rsidRDefault="00C842FE">
            <w:pPr>
              <w:pStyle w:val="TableParagraph"/>
              <w:spacing w:line="291" w:lineRule="exact"/>
              <w:ind w:left="261"/>
              <w:rPr>
                <w:sz w:val="24"/>
              </w:rPr>
            </w:pPr>
            <w:r>
              <w:rPr>
                <w:sz w:val="24"/>
                <w:lang w:val="hu"/>
              </w:rPr>
              <w:t>3.</w:t>
            </w:r>
          </w:p>
        </w:tc>
        <w:tc>
          <w:tcPr>
            <w:tcW w:w="3625" w:type="dxa"/>
            <w:tcBorders>
              <w:top w:val="single" w:sz="12" w:space="0" w:color="000000"/>
              <w:bottom w:val="single" w:sz="12" w:space="0" w:color="000000"/>
            </w:tcBorders>
          </w:tcPr>
          <w:p w:rsidR="002526A1" w:rsidRDefault="00C842FE">
            <w:pPr>
              <w:pStyle w:val="TableParagraph"/>
              <w:rPr>
                <w:sz w:val="20"/>
              </w:rPr>
            </w:pPr>
            <w:r>
              <w:rPr>
                <w:sz w:val="20"/>
                <w:lang w:val="hu"/>
              </w:rPr>
              <w:t>Ellenállási osztály nedves súrlódáskor</w:t>
            </w:r>
          </w:p>
        </w:tc>
        <w:tc>
          <w:tcPr>
            <w:tcW w:w="2700" w:type="dxa"/>
            <w:tcBorders>
              <w:top w:val="single" w:sz="12" w:space="0" w:color="000000"/>
              <w:bottom w:val="single" w:sz="12" w:space="0" w:color="000000"/>
            </w:tcBorders>
          </w:tcPr>
          <w:p w:rsidR="002526A1" w:rsidRDefault="00C842FE">
            <w:pPr>
              <w:pStyle w:val="TableParagraph"/>
              <w:ind w:left="206" w:right="149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5. osztály</w:t>
            </w:r>
          </w:p>
        </w:tc>
        <w:tc>
          <w:tcPr>
            <w:tcW w:w="2792" w:type="dxa"/>
            <w:tcBorders>
              <w:top w:val="single" w:sz="12" w:space="0" w:color="000000"/>
              <w:bottom w:val="single" w:sz="12" w:space="0" w:color="000000"/>
            </w:tcBorders>
          </w:tcPr>
          <w:p w:rsidR="002526A1" w:rsidRDefault="00C842FE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  <w:lang w:val="hu"/>
              </w:rPr>
              <w:t>SR EN ISO 11998:2007</w:t>
            </w:r>
          </w:p>
        </w:tc>
      </w:tr>
      <w:tr w:rsidR="002526A1">
        <w:trPr>
          <w:trHeight w:val="290"/>
        </w:trPr>
        <w:tc>
          <w:tcPr>
            <w:tcW w:w="696" w:type="dxa"/>
            <w:tcBorders>
              <w:top w:val="single" w:sz="12" w:space="0" w:color="000000"/>
              <w:bottom w:val="single" w:sz="12" w:space="0" w:color="000000"/>
            </w:tcBorders>
          </w:tcPr>
          <w:p w:rsidR="002526A1" w:rsidRDefault="00C842FE">
            <w:pPr>
              <w:pStyle w:val="TableParagraph"/>
              <w:spacing w:before="2" w:line="268" w:lineRule="exact"/>
              <w:ind w:left="261"/>
              <w:rPr>
                <w:sz w:val="24"/>
              </w:rPr>
            </w:pPr>
            <w:r>
              <w:rPr>
                <w:sz w:val="24"/>
                <w:lang w:val="hu"/>
              </w:rPr>
              <w:t>4.</w:t>
            </w:r>
          </w:p>
        </w:tc>
        <w:tc>
          <w:tcPr>
            <w:tcW w:w="3625" w:type="dxa"/>
            <w:tcBorders>
              <w:top w:val="single" w:sz="12" w:space="0" w:color="000000"/>
              <w:bottom w:val="single" w:sz="12" w:space="0" w:color="000000"/>
            </w:tcBorders>
          </w:tcPr>
          <w:p w:rsidR="002526A1" w:rsidRDefault="00C842FE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  <w:lang w:val="hu"/>
              </w:rPr>
              <w:t>Tűzveszélyességi osztályba sorolás</w:t>
            </w:r>
          </w:p>
        </w:tc>
        <w:tc>
          <w:tcPr>
            <w:tcW w:w="2700" w:type="dxa"/>
            <w:tcBorders>
              <w:top w:val="single" w:sz="12" w:space="0" w:color="000000"/>
              <w:bottom w:val="single" w:sz="12" w:space="0" w:color="000000"/>
            </w:tcBorders>
          </w:tcPr>
          <w:p w:rsidR="002526A1" w:rsidRDefault="00C842FE">
            <w:pPr>
              <w:pStyle w:val="TableParagraph"/>
              <w:spacing w:before="4"/>
              <w:ind w:left="206" w:right="150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meghatározatlan teljesítmény</w:t>
            </w:r>
          </w:p>
        </w:tc>
        <w:tc>
          <w:tcPr>
            <w:tcW w:w="2792" w:type="dxa"/>
            <w:tcBorders>
              <w:top w:val="single" w:sz="12" w:space="0" w:color="000000"/>
              <w:bottom w:val="single" w:sz="12" w:space="0" w:color="000000"/>
            </w:tcBorders>
          </w:tcPr>
          <w:p w:rsidR="002526A1" w:rsidRDefault="00C842FE">
            <w:pPr>
              <w:pStyle w:val="TableParagraph"/>
              <w:spacing w:before="4"/>
              <w:ind w:left="56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-</w:t>
            </w:r>
          </w:p>
        </w:tc>
      </w:tr>
    </w:tbl>
    <w:p w:rsidR="002526A1" w:rsidRDefault="002526A1">
      <w:pPr>
        <w:jc w:val="center"/>
        <w:rPr>
          <w:sz w:val="20"/>
        </w:rPr>
        <w:sectPr w:rsidR="002526A1">
          <w:type w:val="continuous"/>
          <w:pgSz w:w="11910" w:h="16840"/>
          <w:pgMar w:top="1600" w:right="680" w:bottom="440" w:left="1140" w:header="266" w:footer="251" w:gutter="0"/>
          <w:cols w:space="708"/>
        </w:sectPr>
      </w:pPr>
    </w:p>
    <w:p w:rsidR="002526A1" w:rsidRDefault="00C842FE">
      <w:pPr>
        <w:pStyle w:val="Listaszerbekezds"/>
        <w:numPr>
          <w:ilvl w:val="0"/>
          <w:numId w:val="2"/>
        </w:numPr>
        <w:tabs>
          <w:tab w:val="left" w:pos="572"/>
        </w:tabs>
        <w:spacing w:before="47" w:line="240" w:lineRule="auto"/>
        <w:ind w:left="571" w:hanging="296"/>
        <w:rPr>
          <w:b/>
          <w:sz w:val="24"/>
        </w:rPr>
      </w:pPr>
      <w:r>
        <w:rPr>
          <w:b/>
          <w:bCs/>
          <w:sz w:val="24"/>
          <w:lang w:val="hu"/>
        </w:rPr>
        <w:lastRenderedPageBreak/>
        <w:t>Használat</w:t>
      </w:r>
    </w:p>
    <w:p w:rsidR="002526A1" w:rsidRDefault="00C842FE">
      <w:pPr>
        <w:spacing w:before="3" w:line="292" w:lineRule="exact"/>
        <w:ind w:left="276"/>
        <w:rPr>
          <w:b/>
          <w:sz w:val="24"/>
        </w:rPr>
      </w:pPr>
      <w:r>
        <w:rPr>
          <w:b/>
          <w:bCs/>
          <w:sz w:val="24"/>
          <w:lang w:val="hu"/>
        </w:rPr>
        <w:t>A termék előkészítése</w:t>
      </w:r>
    </w:p>
    <w:p w:rsidR="002526A1" w:rsidRDefault="00C842FE">
      <w:pPr>
        <w:pStyle w:val="Szvegtrzs"/>
        <w:ind w:right="466"/>
      </w:pPr>
      <w:r>
        <w:rPr>
          <w:lang w:val="hu"/>
        </w:rPr>
        <w:t>Használat előtt alaposan keverje össze. A terméket ivóvízzel hígítjuk (a hígítást a festék térfogatához kell viszonyítani):</w:t>
      </w:r>
    </w:p>
    <w:p w:rsidR="002526A1" w:rsidRDefault="00C842FE">
      <w:pPr>
        <w:pStyle w:val="Listaszerbekezds"/>
        <w:numPr>
          <w:ilvl w:val="0"/>
          <w:numId w:val="1"/>
        </w:numPr>
        <w:tabs>
          <w:tab w:val="left" w:pos="405"/>
        </w:tabs>
        <w:spacing w:line="291" w:lineRule="exact"/>
        <w:ind w:hanging="129"/>
        <w:rPr>
          <w:sz w:val="24"/>
        </w:rPr>
      </w:pPr>
      <w:r>
        <w:rPr>
          <w:sz w:val="24"/>
          <w:lang w:val="hu"/>
        </w:rPr>
        <w:t>alapréteg - max. 3-8% Sticky Diluant Nitro 209-el 10% víz;</w:t>
      </w:r>
    </w:p>
    <w:p w:rsidR="002526A1" w:rsidRDefault="00C842FE">
      <w:pPr>
        <w:pStyle w:val="Listaszerbekezds"/>
        <w:numPr>
          <w:ilvl w:val="0"/>
          <w:numId w:val="1"/>
        </w:numPr>
        <w:tabs>
          <w:tab w:val="left" w:pos="405"/>
        </w:tabs>
        <w:spacing w:before="3"/>
        <w:ind w:hanging="129"/>
        <w:rPr>
          <w:sz w:val="24"/>
        </w:rPr>
      </w:pPr>
      <w:r>
        <w:rPr>
          <w:sz w:val="24"/>
          <w:lang w:val="hu"/>
        </w:rPr>
        <w:t>az utolsó réteg - hígítatlan vagy  5% vízzel hígítva használjuk.</w:t>
      </w:r>
    </w:p>
    <w:p w:rsidR="002526A1" w:rsidRDefault="00C842FE">
      <w:pPr>
        <w:pStyle w:val="Szvegtrzs"/>
        <w:spacing w:line="292" w:lineRule="exact"/>
      </w:pPr>
      <w:r>
        <w:rPr>
          <w:lang w:val="hu"/>
        </w:rPr>
        <w:t>A hígítás beállítása valós körülmények között történik úgy, hogy a hígított terméket kis területekre viszik fel</w:t>
      </w:r>
    </w:p>
    <w:p w:rsidR="002526A1" w:rsidRDefault="00C842FE">
      <w:pPr>
        <w:pStyle w:val="Szvegtrzs"/>
        <w:spacing w:line="292" w:lineRule="exact"/>
      </w:pPr>
      <w:r>
        <w:rPr>
          <w:lang w:val="hu"/>
        </w:rPr>
        <w:t>(kb. 1-2 m</w:t>
      </w:r>
      <w:r>
        <w:rPr>
          <w:vertAlign w:val="superscript"/>
          <w:lang w:val="hu"/>
        </w:rPr>
        <w:t>2</w:t>
      </w:r>
      <w:r>
        <w:rPr>
          <w:lang w:val="hu"/>
        </w:rPr>
        <w:t>), mielőt</w:t>
      </w:r>
      <w:r>
        <w:rPr>
          <w:lang w:val="hu"/>
        </w:rPr>
        <w:t>t elkezdené a munkát a teljes felületen.</w:t>
      </w:r>
    </w:p>
    <w:p w:rsidR="002526A1" w:rsidRDefault="00C842FE">
      <w:pPr>
        <w:spacing w:line="292" w:lineRule="exact"/>
        <w:ind w:left="276"/>
        <w:rPr>
          <w:i/>
          <w:sz w:val="24"/>
        </w:rPr>
      </w:pPr>
      <w:r>
        <w:rPr>
          <w:i/>
          <w:iCs/>
          <w:sz w:val="24"/>
          <w:lang w:val="hu"/>
        </w:rPr>
        <w:t>Az árnyalatváltozások elkerülése érdekében ajánlott, hogy a festés teljes egészében</w:t>
      </w:r>
    </w:p>
    <w:p w:rsidR="002526A1" w:rsidRDefault="00C842FE">
      <w:pPr>
        <w:spacing w:before="3"/>
        <w:ind w:left="276"/>
        <w:rPr>
          <w:i/>
          <w:sz w:val="24"/>
        </w:rPr>
      </w:pPr>
      <w:r>
        <w:rPr>
          <w:i/>
          <w:iCs/>
          <w:sz w:val="24"/>
          <w:lang w:val="hu"/>
        </w:rPr>
        <w:t>a termék egyetlen tétele vagy a különböző tételek homogén keveréke.</w:t>
      </w:r>
    </w:p>
    <w:p w:rsidR="002526A1" w:rsidRDefault="002526A1">
      <w:pPr>
        <w:pStyle w:val="Szvegtrzs"/>
        <w:spacing w:before="10"/>
        <w:ind w:left="0"/>
        <w:rPr>
          <w:i/>
          <w:sz w:val="23"/>
        </w:rPr>
      </w:pPr>
    </w:p>
    <w:p w:rsidR="002526A1" w:rsidRDefault="00C842FE">
      <w:pPr>
        <w:pStyle w:val="Cmsor2"/>
        <w:ind w:left="276" w:firstLine="0"/>
      </w:pPr>
      <w:r>
        <w:rPr>
          <w:lang w:val="hu"/>
        </w:rPr>
        <w:t>Felület előkészítése</w:t>
      </w:r>
    </w:p>
    <w:p w:rsidR="002526A1" w:rsidRDefault="00C842FE">
      <w:pPr>
        <w:pStyle w:val="Szvegtrzs"/>
        <w:ind w:right="466"/>
      </w:pPr>
      <w:r>
        <w:rPr>
          <w:lang w:val="hu"/>
        </w:rPr>
        <w:t>A termék felvitele a felületre csak a megfelelő előkészítés után történik, mivel ez a szakasz döntő hatással van a bevonat minőségére és tartósságára</w:t>
      </w:r>
      <w:r>
        <w:rPr>
          <w:i/>
          <w:iCs/>
          <w:lang w:val="hu"/>
        </w:rPr>
        <w:t xml:space="preserve">. </w:t>
      </w:r>
      <w:r>
        <w:rPr>
          <w:lang w:val="hu"/>
        </w:rPr>
        <w:t>A felületeknek, amelyekre a festéket felviszik, tartósnak, tisztának, pormentesnek, száraznak és zsírment</w:t>
      </w:r>
      <w:r>
        <w:rPr>
          <w:lang w:val="hu"/>
        </w:rPr>
        <w:t>esnek kell lenniük.</w:t>
      </w:r>
    </w:p>
    <w:p w:rsidR="002526A1" w:rsidRDefault="002526A1">
      <w:pPr>
        <w:pStyle w:val="Szvegtrzs"/>
        <w:spacing w:before="4"/>
        <w:ind w:left="0"/>
      </w:pPr>
    </w:p>
    <w:p w:rsidR="002526A1" w:rsidRDefault="00C842FE">
      <w:pPr>
        <w:pStyle w:val="Cmsor3"/>
        <w:rPr>
          <w:u w:val="none"/>
        </w:rPr>
      </w:pPr>
      <w:r>
        <w:rPr>
          <w:u w:val="none"/>
          <w:lang w:val="hu"/>
        </w:rPr>
        <w:t>Új</w:t>
      </w:r>
      <w:r>
        <w:rPr>
          <w:lang w:val="hu"/>
        </w:rPr>
        <w:t xml:space="preserve"> felületek</w:t>
      </w:r>
    </w:p>
    <w:p w:rsidR="002526A1" w:rsidRDefault="00C842FE">
      <w:pPr>
        <w:ind w:left="276" w:right="466"/>
        <w:rPr>
          <w:sz w:val="24"/>
        </w:rPr>
      </w:pPr>
      <w:r>
        <w:rPr>
          <w:b/>
          <w:bCs/>
          <w:sz w:val="24"/>
          <w:lang w:val="hu"/>
        </w:rPr>
        <w:t xml:space="preserve">Az ásványi vakolatok </w:t>
      </w:r>
      <w:r>
        <w:rPr>
          <w:sz w:val="24"/>
          <w:lang w:val="hu"/>
        </w:rPr>
        <w:t>(mész/cement alapú glettvakolatok) a felhordás után 28 napig érnek be, és az elfolyó folyadékot el kell távolítani, csiszolni, portalanítani és alapozni</w:t>
      </w:r>
      <w:r>
        <w:rPr>
          <w:i/>
          <w:iCs/>
          <w:sz w:val="24"/>
          <w:lang w:val="hu"/>
        </w:rPr>
        <w:t xml:space="preserve"> Sticky Amorsa rperete fali alapozóval vagy Stick</w:t>
      </w:r>
      <w:r>
        <w:rPr>
          <w:i/>
          <w:iCs/>
          <w:sz w:val="24"/>
          <w:lang w:val="hu"/>
        </w:rPr>
        <w:t>y Amorsa rezistenta la mucegai</w:t>
      </w:r>
      <w:r>
        <w:rPr>
          <w:sz w:val="24"/>
          <w:lang w:val="hu"/>
        </w:rPr>
        <w:t xml:space="preserve"> penészálló alapozóval.</w:t>
      </w:r>
    </w:p>
    <w:p w:rsidR="002526A1" w:rsidRDefault="00C842FE">
      <w:pPr>
        <w:spacing w:line="242" w:lineRule="auto"/>
        <w:ind w:left="276" w:right="466"/>
        <w:rPr>
          <w:i/>
          <w:sz w:val="24"/>
        </w:rPr>
      </w:pPr>
      <w:r>
        <w:rPr>
          <w:b/>
          <w:bCs/>
          <w:sz w:val="24"/>
          <w:lang w:val="hu"/>
        </w:rPr>
        <w:t xml:space="preserve">A gipszalapú vakolatokat </w:t>
      </w:r>
      <w:r>
        <w:rPr>
          <w:sz w:val="24"/>
          <w:lang w:val="hu"/>
        </w:rPr>
        <w:t xml:space="preserve">a gyártó ajánlása szerint kell szárítani, csiszolni, portalanítani és alapozni </w:t>
      </w:r>
      <w:r>
        <w:rPr>
          <w:i/>
          <w:iCs/>
          <w:sz w:val="24"/>
          <w:lang w:val="hu"/>
        </w:rPr>
        <w:t>Sticky Amorsa perete</w:t>
      </w:r>
      <w:r>
        <w:rPr>
          <w:sz w:val="24"/>
          <w:lang w:val="hu"/>
        </w:rPr>
        <w:t xml:space="preserve"> fali alapozóval vagy </w:t>
      </w:r>
      <w:r>
        <w:rPr>
          <w:i/>
          <w:iCs/>
          <w:sz w:val="24"/>
          <w:lang w:val="hu"/>
        </w:rPr>
        <w:t xml:space="preserve">Sticky Amorsa rezistenta la mucegai </w:t>
      </w:r>
      <w:r>
        <w:rPr>
          <w:sz w:val="24"/>
          <w:lang w:val="hu"/>
        </w:rPr>
        <w:t>penészálló alapozóva</w:t>
      </w:r>
      <w:r>
        <w:rPr>
          <w:sz w:val="24"/>
          <w:lang w:val="hu"/>
        </w:rPr>
        <w:t>l.</w:t>
      </w:r>
    </w:p>
    <w:p w:rsidR="002526A1" w:rsidRDefault="002526A1">
      <w:pPr>
        <w:pStyle w:val="Szvegtrzs"/>
        <w:spacing w:before="4"/>
        <w:ind w:left="0"/>
        <w:rPr>
          <w:i/>
          <w:sz w:val="23"/>
        </w:rPr>
      </w:pPr>
    </w:p>
    <w:p w:rsidR="002526A1" w:rsidRDefault="00C842FE">
      <w:pPr>
        <w:pStyle w:val="Cmsor3"/>
        <w:rPr>
          <w:u w:val="none"/>
        </w:rPr>
      </w:pPr>
      <w:r>
        <w:rPr>
          <w:u w:val="none"/>
          <w:lang w:val="hu"/>
        </w:rPr>
        <w:t>Régi és/vagy előre festett</w:t>
      </w:r>
      <w:r>
        <w:rPr>
          <w:lang w:val="hu"/>
        </w:rPr>
        <w:t xml:space="preserve"> felületek</w:t>
      </w:r>
    </w:p>
    <w:p w:rsidR="002526A1" w:rsidRDefault="00C842FE">
      <w:pPr>
        <w:pStyle w:val="Szvegtrzs"/>
        <w:spacing w:line="292" w:lineRule="exact"/>
      </w:pPr>
      <w:r>
        <w:rPr>
          <w:lang w:val="hu"/>
        </w:rPr>
        <w:t>Ne alkalmazza oldószeralapú festékekhez vagy mész-/agyagfestékekhez.</w:t>
      </w:r>
    </w:p>
    <w:p w:rsidR="002526A1" w:rsidRDefault="00C842FE">
      <w:pPr>
        <w:pStyle w:val="Szvegtrzs"/>
        <w:spacing w:before="3" w:line="292" w:lineRule="exact"/>
      </w:pPr>
      <w:r>
        <w:rPr>
          <w:lang w:val="hu"/>
        </w:rPr>
        <w:t>Takarítsa meg a régi tapadásmentes festéket vagy vakolatot, és javítsa ki a</w:t>
      </w:r>
    </w:p>
    <w:p w:rsidR="002526A1" w:rsidRDefault="00C842FE">
      <w:pPr>
        <w:pStyle w:val="Szvegtrzs"/>
        <w:spacing w:line="292" w:lineRule="exact"/>
      </w:pPr>
      <w:r>
        <w:rPr>
          <w:lang w:val="hu"/>
        </w:rPr>
        <w:t>felületi hibákat (hámlás, repedések) festéssel, vágással vagy gittelés</w:t>
      </w:r>
      <w:r>
        <w:rPr>
          <w:lang w:val="hu"/>
        </w:rPr>
        <w:t>sel.</w:t>
      </w:r>
    </w:p>
    <w:p w:rsidR="002526A1" w:rsidRDefault="00C842FE">
      <w:pPr>
        <w:ind w:left="276" w:right="466"/>
        <w:rPr>
          <w:sz w:val="24"/>
        </w:rPr>
      </w:pPr>
      <w:r>
        <w:rPr>
          <w:sz w:val="24"/>
          <w:lang w:val="hu"/>
        </w:rPr>
        <w:t xml:space="preserve">A javított területeket legalább 72 órán át hagyjuk száradni, majd csiszoljuk, portalanítjuk és alapozzuk </w:t>
      </w:r>
      <w:r>
        <w:rPr>
          <w:i/>
          <w:iCs/>
          <w:sz w:val="24"/>
          <w:lang w:val="hu"/>
        </w:rPr>
        <w:t>Sticky Amorsa perete</w:t>
      </w:r>
      <w:r>
        <w:rPr>
          <w:sz w:val="24"/>
          <w:lang w:val="hu"/>
        </w:rPr>
        <w:t xml:space="preserve"> fali alapozóval vagy </w:t>
      </w:r>
      <w:r>
        <w:rPr>
          <w:i/>
          <w:iCs/>
          <w:sz w:val="24"/>
          <w:lang w:val="hu"/>
        </w:rPr>
        <w:t xml:space="preserve">Sticky Amorsa rezistenta la mucegai </w:t>
      </w:r>
      <w:r>
        <w:rPr>
          <w:sz w:val="24"/>
          <w:lang w:val="hu"/>
        </w:rPr>
        <w:t>penészálló alapozóval.</w:t>
      </w:r>
    </w:p>
    <w:p w:rsidR="002526A1" w:rsidRDefault="002526A1">
      <w:pPr>
        <w:pStyle w:val="Szvegtrzs"/>
        <w:spacing w:before="1"/>
        <w:ind w:left="0"/>
      </w:pPr>
    </w:p>
    <w:p w:rsidR="002526A1" w:rsidRDefault="00C842FE">
      <w:pPr>
        <w:ind w:left="276" w:right="320"/>
        <w:jc w:val="both"/>
        <w:rPr>
          <w:sz w:val="24"/>
        </w:rPr>
      </w:pPr>
      <w:r>
        <w:rPr>
          <w:b/>
          <w:bCs/>
          <w:i/>
          <w:iCs/>
          <w:sz w:val="24"/>
          <w:u w:val="single"/>
          <w:lang w:val="hu"/>
        </w:rPr>
        <w:t>A penészes felületeket</w:t>
      </w:r>
      <w:r>
        <w:rPr>
          <w:b/>
          <w:bCs/>
          <w:i/>
          <w:iCs/>
          <w:sz w:val="24"/>
          <w:lang w:val="hu"/>
        </w:rPr>
        <w:t xml:space="preserve"> </w:t>
      </w:r>
      <w:r>
        <w:rPr>
          <w:sz w:val="24"/>
          <w:lang w:val="hu"/>
        </w:rPr>
        <w:t xml:space="preserve"> Sticky antimucegai </w:t>
      </w:r>
      <w:r>
        <w:rPr>
          <w:i/>
          <w:iCs/>
          <w:sz w:val="24"/>
          <w:lang w:val="hu"/>
        </w:rPr>
        <w:t xml:space="preserve">penészölp oldattal </w:t>
      </w:r>
      <w:r>
        <w:rPr>
          <w:sz w:val="24"/>
          <w:lang w:val="hu"/>
        </w:rPr>
        <w:t xml:space="preserve">vagy </w:t>
      </w:r>
      <w:r>
        <w:rPr>
          <w:i/>
          <w:iCs/>
          <w:sz w:val="24"/>
          <w:lang w:val="hu"/>
        </w:rPr>
        <w:t>Sticky Antimucegai Forte penészoldattal</w:t>
      </w:r>
      <w:r>
        <w:rPr>
          <w:sz w:val="24"/>
          <w:lang w:val="hu"/>
        </w:rPr>
        <w:t xml:space="preserve"> mossuk le textilanyaggal</w:t>
      </w:r>
      <w:r>
        <w:rPr>
          <w:b/>
          <w:bCs/>
          <w:sz w:val="24"/>
          <w:lang w:val="hu"/>
        </w:rPr>
        <w:t>,</w:t>
      </w:r>
      <w:r>
        <w:rPr>
          <w:sz w:val="24"/>
          <w:lang w:val="hu"/>
        </w:rPr>
        <w:t xml:space="preserve"> falfestő ecsettel, vagy kefe segítségével, majd 1-2 réteg azonos oldattal impregnáljuk.</w:t>
      </w:r>
    </w:p>
    <w:p w:rsidR="002526A1" w:rsidRDefault="00C842FE">
      <w:pPr>
        <w:spacing w:before="1" w:line="292" w:lineRule="exact"/>
        <w:ind w:left="276"/>
        <w:jc w:val="both"/>
        <w:rPr>
          <w:i/>
          <w:sz w:val="24"/>
        </w:rPr>
      </w:pPr>
      <w:r>
        <w:rPr>
          <w:i/>
          <w:iCs/>
          <w:color w:val="FF0000"/>
          <w:sz w:val="24"/>
          <w:u w:val="single"/>
          <w:lang w:val="hu"/>
        </w:rPr>
        <w:t>Figyelem</w:t>
      </w:r>
      <w:r>
        <w:rPr>
          <w:b/>
          <w:bCs/>
          <w:i/>
          <w:iCs/>
          <w:color w:val="FF0000"/>
          <w:sz w:val="24"/>
          <w:lang w:val="hu"/>
        </w:rPr>
        <w:t xml:space="preserve">: </w:t>
      </w:r>
      <w:r>
        <w:rPr>
          <w:i/>
          <w:iCs/>
          <w:sz w:val="24"/>
          <w:lang w:val="hu"/>
        </w:rPr>
        <w:t>az érintett felületet nem szabad száraz dörzsöléssel, vízzel vagy új festéssel megtisztítani,</w:t>
      </w:r>
    </w:p>
    <w:p w:rsidR="002526A1" w:rsidRDefault="00C842FE">
      <w:pPr>
        <w:spacing w:line="292" w:lineRule="exact"/>
        <w:ind w:left="276"/>
        <w:jc w:val="both"/>
        <w:rPr>
          <w:i/>
          <w:sz w:val="24"/>
        </w:rPr>
      </w:pPr>
      <w:r>
        <w:rPr>
          <w:i/>
          <w:iCs/>
          <w:sz w:val="24"/>
          <w:lang w:val="hu"/>
        </w:rPr>
        <w:t>hogy elkerülje a penészspórák szétszóródását a szomszédos felületeken.</w:t>
      </w:r>
    </w:p>
    <w:p w:rsidR="002526A1" w:rsidRDefault="00C842FE">
      <w:pPr>
        <w:pStyle w:val="Szvegtrzs"/>
      </w:pPr>
      <w:r>
        <w:rPr>
          <w:lang w:val="hu"/>
        </w:rPr>
        <w:t>Alkalmazási időköz a rétegek között - kb. 2 óra. Ha a felületet festeni kell, a terméket mi</w:t>
      </w:r>
      <w:r>
        <w:rPr>
          <w:lang w:val="hu"/>
        </w:rPr>
        <w:t>n. 24 órával a festék felhordása előtt.</w:t>
      </w:r>
    </w:p>
    <w:p w:rsidR="002526A1" w:rsidRDefault="00C842FE">
      <w:pPr>
        <w:pStyle w:val="Szvegtrzs"/>
        <w:spacing w:before="2"/>
        <w:ind w:right="466"/>
      </w:pPr>
      <w:r>
        <w:rPr>
          <w:lang w:val="hu"/>
        </w:rPr>
        <w:t xml:space="preserve">Jellegüktől függetlenül a tartókat 1-2 réteg </w:t>
      </w:r>
      <w:r>
        <w:rPr>
          <w:i/>
          <w:iCs/>
          <w:lang w:val="hu"/>
        </w:rPr>
        <w:t>ragacsos</w:t>
      </w:r>
      <w:r>
        <w:rPr>
          <w:lang w:val="hu"/>
        </w:rPr>
        <w:t xml:space="preserve"> penészálló alapozóban kell kezelni - max. ivóvízzel hígítva. 1:2 (attól függően, hogy milyen mértékben szívódik fel a felület, amelyen alkalmazzák) vagy </w:t>
      </w:r>
      <w:r>
        <w:rPr>
          <w:i/>
          <w:iCs/>
          <w:lang w:val="hu"/>
        </w:rPr>
        <w:t>ragadós f</w:t>
      </w:r>
      <w:r>
        <w:rPr>
          <w:i/>
          <w:iCs/>
          <w:lang w:val="hu"/>
        </w:rPr>
        <w:t>al alapozóval</w:t>
      </w:r>
      <w:r>
        <w:rPr>
          <w:lang w:val="hu"/>
        </w:rPr>
        <w:t xml:space="preserve"> - 1:5 arányban hígítva ivóvízzel (attól függően, hogy milyen mértékben</w:t>
      </w:r>
    </w:p>
    <w:p w:rsidR="002526A1" w:rsidRDefault="00C842FE">
      <w:pPr>
        <w:pStyle w:val="Szvegtrzs"/>
        <w:ind w:right="369"/>
      </w:pPr>
      <w:r>
        <w:rPr>
          <w:lang w:val="hu"/>
        </w:rPr>
        <w:t>annak a felületnek az abszorpciója, amelyre alkalmazzák). Az alapozó réteg akkor jó, ha szárítás után nem válik fényessé. A tartószerkezet szerinti optimális hígítási móds</w:t>
      </w:r>
      <w:r>
        <w:rPr>
          <w:lang w:val="hu"/>
        </w:rPr>
        <w:t>zer megtalálása érdekében kis területű vizsgálatokat végeznek.</w:t>
      </w:r>
    </w:p>
    <w:p w:rsidR="002526A1" w:rsidRDefault="00C842FE">
      <w:pPr>
        <w:spacing w:line="292" w:lineRule="exact"/>
        <w:ind w:left="276"/>
        <w:rPr>
          <w:i/>
          <w:sz w:val="24"/>
        </w:rPr>
      </w:pPr>
      <w:r>
        <w:rPr>
          <w:i/>
          <w:iCs/>
          <w:sz w:val="24"/>
          <w:u w:val="single"/>
          <w:lang w:val="hu"/>
        </w:rPr>
        <w:t>Fontos:</w:t>
      </w:r>
      <w:r>
        <w:rPr>
          <w:i/>
          <w:iCs/>
          <w:sz w:val="24"/>
          <w:lang w:val="hu"/>
        </w:rPr>
        <w:t xml:space="preserve"> Az alapozó felvitele előtt győződjön meg arról, hogy a teljes felület</w:t>
      </w:r>
    </w:p>
    <w:p w:rsidR="002526A1" w:rsidRDefault="00C842FE">
      <w:pPr>
        <w:spacing w:line="242" w:lineRule="auto"/>
        <w:ind w:left="276" w:right="237"/>
        <w:rPr>
          <w:i/>
          <w:sz w:val="24"/>
        </w:rPr>
      </w:pPr>
      <w:r>
        <w:rPr>
          <w:i/>
          <w:iCs/>
          <w:sz w:val="24"/>
          <w:lang w:val="hu"/>
        </w:rPr>
        <w:t xml:space="preserve">egyenletes rétegű azonos típusú bevonattal került lefedésre A különböző típusú vakolatok textúrája és abszorpciója </w:t>
      </w:r>
      <w:r>
        <w:rPr>
          <w:i/>
          <w:iCs/>
          <w:sz w:val="24"/>
          <w:lang w:val="hu"/>
        </w:rPr>
        <w:t>közötti különbségek torzítják a festékfólia végső megjelenését (csúnya csíkok, foltok stb.).</w:t>
      </w:r>
    </w:p>
    <w:p w:rsidR="002526A1" w:rsidRDefault="002526A1">
      <w:pPr>
        <w:spacing w:line="242" w:lineRule="auto"/>
        <w:rPr>
          <w:sz w:val="24"/>
        </w:rPr>
        <w:sectPr w:rsidR="002526A1">
          <w:pgSz w:w="11910" w:h="16840"/>
          <w:pgMar w:top="1600" w:right="680" w:bottom="440" w:left="1140" w:header="266" w:footer="251" w:gutter="0"/>
          <w:cols w:space="708"/>
        </w:sectPr>
      </w:pPr>
    </w:p>
    <w:p w:rsidR="002526A1" w:rsidRDefault="00C842FE">
      <w:pPr>
        <w:spacing w:before="47"/>
        <w:ind w:left="276"/>
        <w:rPr>
          <w:sz w:val="24"/>
        </w:rPr>
      </w:pPr>
      <w:r>
        <w:rPr>
          <w:b/>
          <w:bCs/>
          <w:sz w:val="24"/>
          <w:lang w:val="hu"/>
        </w:rPr>
        <w:t xml:space="preserve">Alkalmazási mód: hengerrel </w:t>
      </w:r>
      <w:r>
        <w:rPr>
          <w:sz w:val="24"/>
          <w:lang w:val="hu"/>
        </w:rPr>
        <w:t>vagy ecsettel, két rétegben vagy permetezéssel.</w:t>
      </w:r>
    </w:p>
    <w:p w:rsidR="002526A1" w:rsidRDefault="00C842FE">
      <w:pPr>
        <w:pStyle w:val="Szvegtrzs"/>
        <w:spacing w:before="3" w:line="292" w:lineRule="exact"/>
      </w:pPr>
      <w:r>
        <w:rPr>
          <w:lang w:val="hu"/>
        </w:rPr>
        <w:t>A felületi festést egyenletesen, megszakítás nélkül kell elvégezni, ho</w:t>
      </w:r>
      <w:r>
        <w:rPr>
          <w:lang w:val="hu"/>
        </w:rPr>
        <w:t>gy megakadályozza a fröccsenést és a</w:t>
      </w:r>
    </w:p>
    <w:p w:rsidR="002526A1" w:rsidRDefault="00C842FE">
      <w:pPr>
        <w:pStyle w:val="Szvegtrzs"/>
        <w:spacing w:line="292" w:lineRule="exact"/>
      </w:pPr>
      <w:r>
        <w:rPr>
          <w:lang w:val="hu"/>
        </w:rPr>
        <w:t>csúnya csíkok megjelenését.</w:t>
      </w:r>
    </w:p>
    <w:p w:rsidR="002526A1" w:rsidRDefault="00C842FE">
      <w:pPr>
        <w:pStyle w:val="Szvegtrzs"/>
        <w:ind w:right="466"/>
      </w:pPr>
      <w:r>
        <w:rPr>
          <w:lang w:val="hu"/>
        </w:rPr>
        <w:t>Levegőmentes permetezés esetén ajánlott: permetezési szög: 40° - 90°, fúvóka: 0,021–0,031" vagy 0,53-0,79 mm, permetezési nyomás: 100–180 bar.</w:t>
      </w:r>
    </w:p>
    <w:p w:rsidR="002526A1" w:rsidRDefault="00C842FE">
      <w:pPr>
        <w:pStyle w:val="Szvegtrzs"/>
        <w:spacing w:before="2" w:line="292" w:lineRule="exact"/>
      </w:pPr>
      <w:r>
        <w:rPr>
          <w:lang w:val="hu"/>
        </w:rPr>
        <w:t>Permetezéssel történő felvitel esetén a hengeres felvitelhez képest fennálló fogyasztási értékek növekedése</w:t>
      </w:r>
    </w:p>
    <w:p w:rsidR="002526A1" w:rsidRDefault="00C842FE">
      <w:pPr>
        <w:pStyle w:val="Szvegtrzs"/>
        <w:spacing w:line="292" w:lineRule="exact"/>
      </w:pPr>
      <w:r>
        <w:rPr>
          <w:lang w:val="hu"/>
        </w:rPr>
        <w:t>kb. 40%.</w:t>
      </w:r>
    </w:p>
    <w:p w:rsidR="002526A1" w:rsidRDefault="00C842FE">
      <w:pPr>
        <w:pStyle w:val="Szvegtrzs"/>
        <w:ind w:right="466"/>
      </w:pPr>
      <w:r>
        <w:rPr>
          <w:lang w:val="hu"/>
        </w:rPr>
        <w:t>A munkaeszközök tisztítása meleg vízzel vagy vízzel és mosószerrel történik közvetlenül használat után.</w:t>
      </w:r>
    </w:p>
    <w:p w:rsidR="002526A1" w:rsidRDefault="002526A1">
      <w:pPr>
        <w:pStyle w:val="Szvegtrzs"/>
        <w:spacing w:before="1"/>
        <w:ind w:left="0"/>
      </w:pPr>
    </w:p>
    <w:p w:rsidR="002526A1" w:rsidRDefault="00C842FE">
      <w:pPr>
        <w:pStyle w:val="Cmsor2"/>
        <w:ind w:left="276" w:firstLine="0"/>
      </w:pPr>
      <w:r>
        <w:rPr>
          <w:lang w:val="hu"/>
        </w:rPr>
        <w:t>Alkalmazási feltételek:</w:t>
      </w:r>
    </w:p>
    <w:p w:rsidR="002526A1" w:rsidRDefault="00C842FE">
      <w:pPr>
        <w:pStyle w:val="Listaszerbekezds"/>
        <w:numPr>
          <w:ilvl w:val="0"/>
          <w:numId w:val="1"/>
        </w:numPr>
        <w:tabs>
          <w:tab w:val="left" w:pos="461"/>
        </w:tabs>
        <w:ind w:left="460" w:hanging="185"/>
        <w:rPr>
          <w:sz w:val="24"/>
        </w:rPr>
      </w:pPr>
      <w:r>
        <w:rPr>
          <w:sz w:val="24"/>
          <w:lang w:val="hu"/>
        </w:rPr>
        <w:t>környezeti hőmérséklet: minimum 10ºC, maximum 30ºC;</w:t>
      </w:r>
    </w:p>
    <w:p w:rsidR="002526A1" w:rsidRDefault="00C842FE">
      <w:pPr>
        <w:pStyle w:val="Listaszerbekezds"/>
        <w:numPr>
          <w:ilvl w:val="0"/>
          <w:numId w:val="1"/>
        </w:numPr>
        <w:tabs>
          <w:tab w:val="left" w:pos="461"/>
        </w:tabs>
        <w:ind w:left="460" w:hanging="185"/>
        <w:rPr>
          <w:sz w:val="24"/>
        </w:rPr>
      </w:pPr>
      <w:r>
        <w:rPr>
          <w:sz w:val="24"/>
          <w:lang w:val="hu"/>
        </w:rPr>
        <w:t>felületi hőmérséklet: minimum 10ºC, maximum 30ºC;</w:t>
      </w:r>
    </w:p>
    <w:p w:rsidR="002526A1" w:rsidRDefault="00C842FE">
      <w:pPr>
        <w:pStyle w:val="Listaszerbekezds"/>
        <w:numPr>
          <w:ilvl w:val="0"/>
          <w:numId w:val="1"/>
        </w:numPr>
        <w:tabs>
          <w:tab w:val="left" w:pos="461"/>
        </w:tabs>
        <w:spacing w:before="3" w:line="293" w:lineRule="exact"/>
        <w:ind w:left="460" w:hanging="185"/>
        <w:rPr>
          <w:sz w:val="24"/>
        </w:rPr>
      </w:pPr>
      <w:r>
        <w:rPr>
          <w:sz w:val="24"/>
          <w:lang w:val="hu"/>
        </w:rPr>
        <w:t>termék hőmérséklete: minimum 10ºC, maximum 30ºC;</w:t>
      </w:r>
    </w:p>
    <w:p w:rsidR="002526A1" w:rsidRDefault="00C842FE">
      <w:pPr>
        <w:pStyle w:val="Listaszerbekezds"/>
        <w:numPr>
          <w:ilvl w:val="0"/>
          <w:numId w:val="1"/>
        </w:numPr>
        <w:tabs>
          <w:tab w:val="left" w:pos="461"/>
        </w:tabs>
        <w:spacing w:line="293" w:lineRule="exact"/>
        <w:ind w:left="460" w:hanging="185"/>
        <w:rPr>
          <w:sz w:val="24"/>
        </w:rPr>
      </w:pPr>
      <w:r>
        <w:rPr>
          <w:sz w:val="24"/>
          <w:lang w:val="hu"/>
        </w:rPr>
        <w:t>átlagos páratartalom: legfeljebb 80%.</w:t>
      </w:r>
    </w:p>
    <w:p w:rsidR="002526A1" w:rsidRDefault="002526A1">
      <w:pPr>
        <w:pStyle w:val="Szvegtrzs"/>
        <w:spacing w:before="10"/>
        <w:ind w:left="0"/>
        <w:rPr>
          <w:sz w:val="23"/>
        </w:rPr>
      </w:pPr>
    </w:p>
    <w:p w:rsidR="002526A1" w:rsidRDefault="00C842FE">
      <w:pPr>
        <w:pStyle w:val="Cmsor2"/>
        <w:spacing w:line="240" w:lineRule="auto"/>
        <w:ind w:left="276" w:firstLine="0"/>
      </w:pPr>
      <w:r>
        <w:rPr>
          <w:lang w:val="hu"/>
        </w:rPr>
        <w:t>Száradás</w:t>
      </w:r>
    </w:p>
    <w:p w:rsidR="002526A1" w:rsidRDefault="00C842FE">
      <w:pPr>
        <w:pStyle w:val="Szvegtrzs"/>
        <w:spacing w:before="3"/>
        <w:ind w:right="466"/>
      </w:pPr>
      <w:r>
        <w:rPr>
          <w:lang w:val="hu"/>
        </w:rPr>
        <w:t>A száradási idő a hőmérséklettől és a páratartalomtól (kö</w:t>
      </w:r>
      <w:r>
        <w:rPr>
          <w:lang w:val="hu"/>
        </w:rPr>
        <w:t>rnyezet és támogatás) függ. A helyiség rossz szellőzése és a túlzott páratartalom növeli a száradási időt.</w:t>
      </w:r>
    </w:p>
    <w:p w:rsidR="002526A1" w:rsidRDefault="00C842FE">
      <w:pPr>
        <w:pStyle w:val="Szvegtrzs"/>
        <w:spacing w:line="290" w:lineRule="exact"/>
      </w:pPr>
      <w:r>
        <w:rPr>
          <w:lang w:val="hu"/>
        </w:rPr>
        <w:t>A réteg száradása 20° C hőmérsékleten: részlegesen 4 óra, teljesen 24 óra.</w:t>
      </w:r>
    </w:p>
    <w:p w:rsidR="002526A1" w:rsidRDefault="00C842FE">
      <w:pPr>
        <w:pStyle w:val="Szvegtrzs"/>
        <w:spacing w:line="292" w:lineRule="exact"/>
      </w:pPr>
      <w:r>
        <w:rPr>
          <w:lang w:val="hu"/>
        </w:rPr>
        <w:t>Száradási idő az egymást követő rétegek között: 2-4 óra.</w:t>
      </w:r>
    </w:p>
    <w:p w:rsidR="002526A1" w:rsidRDefault="00C842FE">
      <w:pPr>
        <w:pStyle w:val="Szvegtrzs"/>
      </w:pPr>
      <w:r>
        <w:rPr>
          <w:lang w:val="hu"/>
        </w:rPr>
        <w:t>A teljes filmelle</w:t>
      </w:r>
      <w:r>
        <w:rPr>
          <w:lang w:val="hu"/>
        </w:rPr>
        <w:t>nállás az alkalmazás után 7 nappal érhető el.</w:t>
      </w:r>
    </w:p>
    <w:p w:rsidR="002526A1" w:rsidRDefault="002526A1">
      <w:pPr>
        <w:pStyle w:val="Szvegtrzs"/>
        <w:spacing w:before="2"/>
        <w:ind w:left="0"/>
      </w:pPr>
    </w:p>
    <w:p w:rsidR="002526A1" w:rsidRDefault="00C842FE">
      <w:pPr>
        <w:pStyle w:val="Listaszerbekezds"/>
        <w:numPr>
          <w:ilvl w:val="0"/>
          <w:numId w:val="2"/>
        </w:numPr>
        <w:tabs>
          <w:tab w:val="left" w:pos="517"/>
        </w:tabs>
        <w:ind w:hanging="241"/>
        <w:rPr>
          <w:sz w:val="24"/>
        </w:rPr>
      </w:pPr>
      <w:r>
        <w:rPr>
          <w:b/>
          <w:bCs/>
          <w:sz w:val="24"/>
          <w:lang w:val="hu"/>
        </w:rPr>
        <w:t xml:space="preserve">Fajlagos fogyasztás: </w:t>
      </w:r>
      <w:r>
        <w:rPr>
          <w:sz w:val="24"/>
          <w:lang w:val="hu"/>
        </w:rPr>
        <w:t>10 – 14 m2/ l / réteg a tartóréteg jellegétől függően.</w:t>
      </w:r>
    </w:p>
    <w:p w:rsidR="002526A1" w:rsidRDefault="00C842FE">
      <w:pPr>
        <w:pStyle w:val="Szvegtrzs"/>
        <w:ind w:right="369"/>
      </w:pPr>
      <w:r>
        <w:rPr>
          <w:lang w:val="hu"/>
        </w:rPr>
        <w:t>Az előkészítés és az alkalmazás során bekövetkező anyagi veszteségek változóak, és ezeket is figyelembe kell venni. Ezek az alkalmazás módjától és körülményeitől, a felület alakjától, méretétől, textúrájától és profiljától függenek.</w:t>
      </w:r>
    </w:p>
    <w:p w:rsidR="002526A1" w:rsidRDefault="002526A1">
      <w:pPr>
        <w:pStyle w:val="Szvegtrzs"/>
        <w:ind w:left="0"/>
      </w:pPr>
    </w:p>
    <w:p w:rsidR="002526A1" w:rsidRDefault="00C842FE">
      <w:pPr>
        <w:pStyle w:val="Cmsor2"/>
        <w:numPr>
          <w:ilvl w:val="0"/>
          <w:numId w:val="2"/>
        </w:numPr>
        <w:tabs>
          <w:tab w:val="left" w:pos="517"/>
        </w:tabs>
        <w:spacing w:line="293" w:lineRule="exact"/>
        <w:ind w:hanging="241"/>
      </w:pPr>
      <w:r>
        <w:rPr>
          <w:lang w:val="hu"/>
        </w:rPr>
        <w:t>Csomagolás, tárolás, s</w:t>
      </w:r>
      <w:r>
        <w:rPr>
          <w:lang w:val="hu"/>
        </w:rPr>
        <w:t>zállítás</w:t>
      </w:r>
    </w:p>
    <w:p w:rsidR="002526A1" w:rsidRDefault="00C842FE">
      <w:pPr>
        <w:pStyle w:val="Szvegtrzs"/>
        <w:spacing w:line="242" w:lineRule="auto"/>
        <w:ind w:right="1832"/>
      </w:pPr>
      <w:r>
        <w:rPr>
          <w:i/>
          <w:iCs/>
          <w:lang w:val="hu"/>
        </w:rPr>
        <w:t xml:space="preserve">Csomagolás: </w:t>
      </w:r>
      <w:r>
        <w:rPr>
          <w:lang w:val="hu"/>
        </w:rPr>
        <w:t>A termék légmentesen lezárt műanyag tartályokba van csomagolva: 1 l ; 2,5 l; 8,5 l; 10 l; 15 l; 20 l; 25 l.</w:t>
      </w:r>
    </w:p>
    <w:p w:rsidR="002526A1" w:rsidRDefault="00C842FE">
      <w:pPr>
        <w:pStyle w:val="Szvegtrzs"/>
        <w:ind w:right="466"/>
      </w:pPr>
      <w:r>
        <w:rPr>
          <w:lang w:val="hu"/>
        </w:rPr>
        <w:t>Szállítás és tárolás: A légmentesen lezárt csomagolásban, időjárásnak, napsugárzásnak vagy más hő- és gyújtóforrásnak nem kitév</w:t>
      </w:r>
      <w:r>
        <w:rPr>
          <w:lang w:val="hu"/>
        </w:rPr>
        <w:t>e, 5-30°C közötti hőmérsékleten.</w:t>
      </w:r>
    </w:p>
    <w:p w:rsidR="002526A1" w:rsidRDefault="00C842FE">
      <w:pPr>
        <w:pStyle w:val="Szvegtrzs"/>
        <w:spacing w:line="291" w:lineRule="exact"/>
      </w:pPr>
      <w:r>
        <w:rPr>
          <w:lang w:val="hu"/>
        </w:rPr>
        <w:t>Az értékvesztés veszélye fagyás esetén.</w:t>
      </w:r>
    </w:p>
    <w:p w:rsidR="002526A1" w:rsidRDefault="002526A1">
      <w:pPr>
        <w:pStyle w:val="Szvegtrzs"/>
        <w:spacing w:before="10"/>
        <w:ind w:left="0"/>
        <w:rPr>
          <w:sz w:val="23"/>
        </w:rPr>
      </w:pPr>
    </w:p>
    <w:p w:rsidR="002526A1" w:rsidRDefault="00C842FE">
      <w:pPr>
        <w:pStyle w:val="Listaszerbekezds"/>
        <w:numPr>
          <w:ilvl w:val="0"/>
          <w:numId w:val="2"/>
        </w:numPr>
        <w:tabs>
          <w:tab w:val="left" w:pos="541"/>
        </w:tabs>
        <w:spacing w:line="240" w:lineRule="auto"/>
        <w:ind w:left="276" w:right="337" w:firstLine="0"/>
        <w:rPr>
          <w:sz w:val="24"/>
        </w:rPr>
      </w:pPr>
      <w:r>
        <w:rPr>
          <w:b/>
          <w:bCs/>
          <w:sz w:val="24"/>
          <w:lang w:val="hu"/>
        </w:rPr>
        <w:t xml:space="preserve">Felhasználhatósági időtartam: </w:t>
      </w:r>
      <w:r>
        <w:rPr>
          <w:sz w:val="24"/>
          <w:lang w:val="hu"/>
        </w:rPr>
        <w:t>A gyártástól számított 24 hónap, az eredeti légmentesen lezárt csomagolásban, feltéve, hogy a szállítási és tárolási szabályokat betartják.</w:t>
      </w:r>
    </w:p>
    <w:p w:rsidR="002526A1" w:rsidRDefault="002526A1">
      <w:pPr>
        <w:pStyle w:val="Szvegtrzs"/>
        <w:spacing w:before="2"/>
        <w:ind w:left="0"/>
      </w:pPr>
    </w:p>
    <w:p w:rsidR="002526A1" w:rsidRDefault="00C842FE">
      <w:pPr>
        <w:pStyle w:val="Cmsor2"/>
        <w:numPr>
          <w:ilvl w:val="0"/>
          <w:numId w:val="2"/>
        </w:numPr>
        <w:tabs>
          <w:tab w:val="left" w:pos="573"/>
        </w:tabs>
        <w:ind w:left="572" w:hanging="297"/>
      </w:pPr>
      <w:r>
        <w:rPr>
          <w:lang w:val="hu"/>
        </w:rPr>
        <w:t>Jogszabályo</w:t>
      </w:r>
      <w:r>
        <w:rPr>
          <w:lang w:val="hu"/>
        </w:rPr>
        <w:t>k</w:t>
      </w:r>
    </w:p>
    <w:p w:rsidR="002526A1" w:rsidRDefault="00C842FE">
      <w:pPr>
        <w:pStyle w:val="Szvegtrzs"/>
        <w:ind w:right="466"/>
      </w:pPr>
      <w:r>
        <w:rPr>
          <w:b/>
          <w:bCs/>
          <w:lang w:val="hu"/>
        </w:rPr>
        <w:t xml:space="preserve">Hulladék: </w:t>
      </w:r>
      <w:r>
        <w:rPr>
          <w:lang w:val="hu"/>
        </w:rPr>
        <w:t>A termék és a csomagolási maradványok hulladékok, és a hatályos jogszabályoknak megfelelően kezelik őket</w:t>
      </w:r>
    </w:p>
    <w:p w:rsidR="002526A1" w:rsidRDefault="00C842FE">
      <w:pPr>
        <w:pStyle w:val="Szvegtrzs"/>
        <w:spacing w:line="291" w:lineRule="exact"/>
      </w:pPr>
      <w:r>
        <w:rPr>
          <w:lang w:val="hu"/>
        </w:rPr>
        <w:t>Termékbiztonsági adatlap kérésre rendelkezésre áll.</w:t>
      </w:r>
    </w:p>
    <w:p w:rsidR="002526A1" w:rsidRDefault="002526A1">
      <w:pPr>
        <w:pStyle w:val="Szvegtrzs"/>
        <w:spacing w:before="4"/>
        <w:ind w:left="0"/>
        <w:rPr>
          <w:sz w:val="20"/>
        </w:rPr>
      </w:pPr>
    </w:p>
    <w:p w:rsidR="002526A1" w:rsidRDefault="00C842FE">
      <w:pPr>
        <w:ind w:left="276"/>
        <w:rPr>
          <w:sz w:val="20"/>
        </w:rPr>
      </w:pPr>
      <w:r>
        <w:rPr>
          <w:sz w:val="20"/>
          <w:lang w:val="hu"/>
        </w:rPr>
        <w:t>VOC EU határérték g/l: Cat A/a: 30</w:t>
      </w:r>
    </w:p>
    <w:p w:rsidR="002526A1" w:rsidRDefault="00C842FE">
      <w:pPr>
        <w:spacing w:before="1"/>
        <w:ind w:left="276"/>
        <w:rPr>
          <w:sz w:val="20"/>
        </w:rPr>
      </w:pPr>
      <w:r>
        <w:rPr>
          <w:sz w:val="20"/>
          <w:lang w:val="hu"/>
        </w:rPr>
        <w:t>Maximális VOC a használatra kész termékben, g/l: 30</w:t>
      </w:r>
    </w:p>
    <w:p w:rsidR="002526A1" w:rsidRDefault="002526A1">
      <w:pPr>
        <w:pStyle w:val="Szvegtrzs"/>
        <w:spacing w:before="10"/>
        <w:ind w:left="0"/>
        <w:rPr>
          <w:sz w:val="23"/>
        </w:rPr>
      </w:pPr>
    </w:p>
    <w:p w:rsidR="002526A1" w:rsidRDefault="00C842FE">
      <w:pPr>
        <w:spacing w:before="1"/>
        <w:ind w:left="276"/>
        <w:rPr>
          <w:i/>
          <w:sz w:val="20"/>
        </w:rPr>
      </w:pPr>
      <w:r>
        <w:rPr>
          <w:i/>
          <w:iCs/>
          <w:sz w:val="20"/>
          <w:lang w:val="hu"/>
        </w:rPr>
        <w:t>Megjegyzés: Mindezek az adatok általános jellegűek a termék használatának teljesítményére vonatkozóan, ezért ajánlott a terméket saját alkalmazási technológiájának feltételei mellett tesztelni.</w:t>
      </w:r>
    </w:p>
    <w:p w:rsidR="002526A1" w:rsidRDefault="00C842FE">
      <w:pPr>
        <w:ind w:left="276" w:right="467"/>
        <w:rPr>
          <w:sz w:val="20"/>
        </w:rPr>
      </w:pPr>
      <w:r>
        <w:rPr>
          <w:i/>
          <w:iCs/>
          <w:sz w:val="20"/>
          <w:lang w:val="hu"/>
        </w:rPr>
        <w:t>A nem képzett személyzettel való munkavégzés, a nem megfelelő felületi előkészítés, a nem megfelelő felvivő eszközök használata vagy az ajánlottól eltérő körülmények közötti alkalmazás nem vonja maga után a gyártó felelősségét. A további pontosítás érdekéb</w:t>
      </w:r>
      <w:r>
        <w:rPr>
          <w:i/>
          <w:iCs/>
          <w:sz w:val="20"/>
          <w:lang w:val="hu"/>
        </w:rPr>
        <w:t>en javasoljuk, hogy forduljon a gyártóhoz</w:t>
      </w:r>
      <w:r>
        <w:rPr>
          <w:sz w:val="20"/>
          <w:lang w:val="hu"/>
        </w:rPr>
        <w:t>.</w:t>
      </w:r>
    </w:p>
    <w:sectPr w:rsidR="002526A1">
      <w:pgSz w:w="11910" w:h="16840"/>
      <w:pgMar w:top="1600" w:right="680" w:bottom="440" w:left="1140" w:header="266" w:footer="2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842FE">
      <w:r>
        <w:separator/>
      </w:r>
    </w:p>
  </w:endnote>
  <w:endnote w:type="continuationSeparator" w:id="0">
    <w:p w:rsidR="00000000" w:rsidRDefault="00C84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6A1" w:rsidRDefault="00C842FE">
    <w:pPr>
      <w:pStyle w:val="Szvegtrzs"/>
      <w:spacing w:line="14" w:lineRule="auto"/>
      <w:ind w:left="0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1025" type="#_x0000_t202" style="position:absolute;margin-left:278.5pt;margin-top:818.45pt;width:59.2pt;height:13.1pt;z-index:-15886848;mso-position-horizontal-relative:page;mso-position-vertical-relative:page" filled="f" stroked="f">
          <v:textbox inset="0,0,0,0">
            <w:txbxContent>
              <w:p w:rsidR="002526A1" w:rsidRDefault="00C842FE">
                <w:pPr>
                  <w:spacing w:before="11"/>
                  <w:ind w:left="20"/>
                  <w:rPr>
                    <w:rFonts w:ascii="Times New Roman"/>
                    <w:b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begin"/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separate"/>
                </w:r>
                <w:r>
                  <w:rPr>
                    <w:rFonts w:ascii="Times New Roman" w:hAnsi="Times New Roman"/>
                    <w:noProof/>
                    <w:sz w:val="20"/>
                    <w:lang w:val="hu"/>
                  </w:rPr>
                  <w:t>1</w: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end"/>
                </w:r>
                <w:r>
                  <w:rPr>
                    <w:rFonts w:ascii="Times New Roman" w:hAnsi="Times New Roman"/>
                    <w:b/>
                    <w:bCs/>
                    <w:sz w:val="20"/>
                    <w:lang w:val="hu"/>
                  </w:rPr>
                  <w:t xml:space="preserve"> 1/3. </w: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t>oldal</w: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begin"/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instrText xml:space="preserve"> NUMPAGES </w:instrTex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separate"/>
                </w:r>
                <w:r>
                  <w:rPr>
                    <w:rFonts w:ascii="Times New Roman" w:hAnsi="Times New Roman"/>
                    <w:noProof/>
                    <w:sz w:val="20"/>
                    <w:lang w:val="hu"/>
                  </w:rPr>
                  <w:t>5</w: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842FE">
      <w:r>
        <w:separator/>
      </w:r>
    </w:p>
  </w:footnote>
  <w:footnote w:type="continuationSeparator" w:id="0">
    <w:p w:rsidR="00000000" w:rsidRDefault="00C84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6A1" w:rsidRDefault="00C842FE">
    <w:pPr>
      <w:pStyle w:val="Szvegtrzs"/>
      <w:spacing w:line="14" w:lineRule="auto"/>
      <w:ind w:left="0"/>
      <w:rPr>
        <w:sz w:val="20"/>
      </w:rPr>
    </w:pPr>
    <w:r>
      <w:rPr>
        <w:lang w:val="hu"/>
      </w:rPr>
      <w:pict>
        <v:group id="docshapegroup1" o:spid="_x0000_s1027" style="position:absolute;margin-left:490.9pt;margin-top:13.3pt;width:89.9pt;height:60.9pt;z-index:-15888384;mso-position-horizontal-relative:page;mso-position-vertical-relative:page" coordorigin="9818,266" coordsize="1798,12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ocshape2" o:spid="_x0000_s1030" type="#_x0000_t75" style="position:absolute;left:9818;top:266;width:598;height:849">
            <v:imagedata r:id="rId1" o:title=""/>
          </v:shape>
          <v:shape id="docshape3" o:spid="_x0000_s1029" type="#_x0000_t75" style="position:absolute;left:11018;top:266;width:598;height:849">
            <v:imagedata r:id="rId2" o:title=""/>
          </v:shape>
          <v:shape id="docshape4" o:spid="_x0000_s1028" type="#_x0000_t75" style="position:absolute;left:10418;top:634;width:598;height:849">
            <v:imagedata r:id="rId3" o:title=""/>
          </v:shape>
          <w10:wrap anchorx="page" anchory="page"/>
        </v:group>
      </w:pict>
    </w:r>
    <w:r>
      <w:rPr>
        <w:noProof/>
        <w:lang w:val="hu-HU" w:eastAsia="zh-CN"/>
      </w:rPr>
      <w:drawing>
        <wp:anchor distT="0" distB="0" distL="0" distR="0" simplePos="0" relativeHeight="487428608" behindDoc="1" locked="0" layoutInCell="1" allowOverlap="1">
          <wp:simplePos x="0" y="0"/>
          <wp:positionH relativeFrom="page">
            <wp:posOffset>219075</wp:posOffset>
          </wp:positionH>
          <wp:positionV relativeFrom="page">
            <wp:posOffset>190500</wp:posOffset>
          </wp:positionV>
          <wp:extent cx="1691639" cy="751840"/>
          <wp:effectExtent l="0" t="0" r="0" b="0"/>
          <wp:wrapNone/>
          <wp:docPr id="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691639" cy="751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1026" type="#_x0000_t202" style="position:absolute;margin-left:162.05pt;margin-top:16.85pt;width:268.45pt;height:55.05pt;z-index:-15887360;mso-position-horizontal-relative:page;mso-position-vertical-relative:page" filled="f" stroked="f">
          <v:textbox inset="0,0,0,0">
            <w:txbxContent>
              <w:p w:rsidR="002526A1" w:rsidRDefault="00C842FE">
                <w:pPr>
                  <w:spacing w:line="203" w:lineRule="exact"/>
                  <w:ind w:left="20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Comuna Mihăești, Sat Buleta, Str. Depozitelor nr. 5., jud. Vâlcea,</w:t>
                </w:r>
              </w:p>
              <w:p w:rsidR="002526A1" w:rsidRDefault="00C842FE">
                <w:pPr>
                  <w:ind w:left="20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 xml:space="preserve">Adószám RO4701754, Kereskedelem szám J38/999/1993, Alaptőke 103.560 lej </w:t>
                </w:r>
                <w:hyperlink r:id="rId5">
                  <w:r>
                    <w:rPr>
                      <w:sz w:val="18"/>
                      <w:lang w:val="hu"/>
                    </w:rPr>
                    <w:t xml:space="preserve">www.sarcom.ro, </w:t>
                  </w:r>
                </w:hyperlink>
                <w:r>
                  <w:rPr>
                    <w:sz w:val="18"/>
                    <w:lang w:val="hu"/>
                  </w:rPr>
                  <w:t xml:space="preserve">e-mail: </w:t>
                </w:r>
                <w:hyperlink r:id="rId6">
                  <w:r>
                    <w:rPr>
                      <w:sz w:val="18"/>
                      <w:lang w:val="hu"/>
                    </w:rPr>
                    <w:t>office@sarcom.ro</w:t>
                  </w:r>
                </w:hyperlink>
              </w:p>
              <w:p w:rsidR="002526A1" w:rsidRDefault="00C842FE">
                <w:pPr>
                  <w:spacing w:before="1"/>
                  <w:ind w:left="20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Banca Transilvania fiók Vâlcea Számlaszám RO89BTRLRONCRT0277</w:t>
                </w:r>
                <w:r>
                  <w:rPr>
                    <w:sz w:val="18"/>
                    <w:lang w:val="hu"/>
                  </w:rPr>
                  <w:t>274301 Tel./Fax: 0250 772 562 / 0250 772 547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A57655"/>
    <w:multiLevelType w:val="hybridMultilevel"/>
    <w:tmpl w:val="EF623624"/>
    <w:lvl w:ilvl="0" w:tplc="58A63A78">
      <w:start w:val="1"/>
      <w:numFmt w:val="decimal"/>
      <w:lvlText w:val="%1."/>
      <w:lvlJc w:val="left"/>
      <w:pPr>
        <w:ind w:left="516" w:hanging="24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ro-RO" w:eastAsia="en-US" w:bidi="ar-SA"/>
      </w:rPr>
    </w:lvl>
    <w:lvl w:ilvl="1" w:tplc="95324B78">
      <w:numFmt w:val="bullet"/>
      <w:lvlText w:val=""/>
      <w:lvlJc w:val="left"/>
      <w:pPr>
        <w:ind w:left="171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2" w:tplc="B37C1934">
      <w:numFmt w:val="bullet"/>
      <w:lvlText w:val="•"/>
      <w:lvlJc w:val="left"/>
      <w:pPr>
        <w:ind w:left="1773" w:hanging="360"/>
      </w:pPr>
      <w:rPr>
        <w:rFonts w:hint="default"/>
        <w:lang w:val="ro-RO" w:eastAsia="en-US" w:bidi="ar-SA"/>
      </w:rPr>
    </w:lvl>
    <w:lvl w:ilvl="3" w:tplc="4E06D600">
      <w:numFmt w:val="bullet"/>
      <w:lvlText w:val="•"/>
      <w:lvlJc w:val="left"/>
      <w:pPr>
        <w:ind w:left="1827" w:hanging="360"/>
      </w:pPr>
      <w:rPr>
        <w:rFonts w:hint="default"/>
        <w:lang w:val="ro-RO" w:eastAsia="en-US" w:bidi="ar-SA"/>
      </w:rPr>
    </w:lvl>
    <w:lvl w:ilvl="4" w:tplc="69903B76">
      <w:numFmt w:val="bullet"/>
      <w:lvlText w:val="•"/>
      <w:lvlJc w:val="left"/>
      <w:pPr>
        <w:ind w:left="1880" w:hanging="360"/>
      </w:pPr>
      <w:rPr>
        <w:rFonts w:hint="default"/>
        <w:lang w:val="ro-RO" w:eastAsia="en-US" w:bidi="ar-SA"/>
      </w:rPr>
    </w:lvl>
    <w:lvl w:ilvl="5" w:tplc="6BF8645E">
      <w:numFmt w:val="bullet"/>
      <w:lvlText w:val="•"/>
      <w:lvlJc w:val="left"/>
      <w:pPr>
        <w:ind w:left="1934" w:hanging="360"/>
      </w:pPr>
      <w:rPr>
        <w:rFonts w:hint="default"/>
        <w:lang w:val="ro-RO" w:eastAsia="en-US" w:bidi="ar-SA"/>
      </w:rPr>
    </w:lvl>
    <w:lvl w:ilvl="6" w:tplc="BE78B610">
      <w:numFmt w:val="bullet"/>
      <w:lvlText w:val="•"/>
      <w:lvlJc w:val="left"/>
      <w:pPr>
        <w:ind w:left="1988" w:hanging="360"/>
      </w:pPr>
      <w:rPr>
        <w:rFonts w:hint="default"/>
        <w:lang w:val="ro-RO" w:eastAsia="en-US" w:bidi="ar-SA"/>
      </w:rPr>
    </w:lvl>
    <w:lvl w:ilvl="7" w:tplc="197272E4">
      <w:numFmt w:val="bullet"/>
      <w:lvlText w:val="•"/>
      <w:lvlJc w:val="left"/>
      <w:pPr>
        <w:ind w:left="2041" w:hanging="360"/>
      </w:pPr>
      <w:rPr>
        <w:rFonts w:hint="default"/>
        <w:lang w:val="ro-RO" w:eastAsia="en-US" w:bidi="ar-SA"/>
      </w:rPr>
    </w:lvl>
    <w:lvl w:ilvl="8" w:tplc="1F9AC038">
      <w:numFmt w:val="bullet"/>
      <w:lvlText w:val="•"/>
      <w:lvlJc w:val="left"/>
      <w:pPr>
        <w:ind w:left="2095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6873443B"/>
    <w:multiLevelType w:val="hybridMultilevel"/>
    <w:tmpl w:val="8196D5FE"/>
    <w:lvl w:ilvl="0" w:tplc="09A0A390">
      <w:numFmt w:val="bullet"/>
      <w:lvlText w:val="-"/>
      <w:lvlJc w:val="left"/>
      <w:pPr>
        <w:ind w:left="404" w:hanging="1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1" w:tplc="54300820">
      <w:numFmt w:val="bullet"/>
      <w:lvlText w:val="•"/>
      <w:lvlJc w:val="left"/>
      <w:pPr>
        <w:ind w:left="1368" w:hanging="128"/>
      </w:pPr>
      <w:rPr>
        <w:rFonts w:hint="default"/>
        <w:lang w:val="ro-RO" w:eastAsia="en-US" w:bidi="ar-SA"/>
      </w:rPr>
    </w:lvl>
    <w:lvl w:ilvl="2" w:tplc="F71A2E64">
      <w:numFmt w:val="bullet"/>
      <w:lvlText w:val="•"/>
      <w:lvlJc w:val="left"/>
      <w:pPr>
        <w:ind w:left="2337" w:hanging="128"/>
      </w:pPr>
      <w:rPr>
        <w:rFonts w:hint="default"/>
        <w:lang w:val="ro-RO" w:eastAsia="en-US" w:bidi="ar-SA"/>
      </w:rPr>
    </w:lvl>
    <w:lvl w:ilvl="3" w:tplc="170ECE76">
      <w:numFmt w:val="bullet"/>
      <w:lvlText w:val="•"/>
      <w:lvlJc w:val="left"/>
      <w:pPr>
        <w:ind w:left="3306" w:hanging="128"/>
      </w:pPr>
      <w:rPr>
        <w:rFonts w:hint="default"/>
        <w:lang w:val="ro-RO" w:eastAsia="en-US" w:bidi="ar-SA"/>
      </w:rPr>
    </w:lvl>
    <w:lvl w:ilvl="4" w:tplc="3266BCB6">
      <w:numFmt w:val="bullet"/>
      <w:lvlText w:val="•"/>
      <w:lvlJc w:val="left"/>
      <w:pPr>
        <w:ind w:left="4275" w:hanging="128"/>
      </w:pPr>
      <w:rPr>
        <w:rFonts w:hint="default"/>
        <w:lang w:val="ro-RO" w:eastAsia="en-US" w:bidi="ar-SA"/>
      </w:rPr>
    </w:lvl>
    <w:lvl w:ilvl="5" w:tplc="1F1A7AB4">
      <w:numFmt w:val="bullet"/>
      <w:lvlText w:val="•"/>
      <w:lvlJc w:val="left"/>
      <w:pPr>
        <w:ind w:left="5244" w:hanging="128"/>
      </w:pPr>
      <w:rPr>
        <w:rFonts w:hint="default"/>
        <w:lang w:val="ro-RO" w:eastAsia="en-US" w:bidi="ar-SA"/>
      </w:rPr>
    </w:lvl>
    <w:lvl w:ilvl="6" w:tplc="DC6E20DC">
      <w:numFmt w:val="bullet"/>
      <w:lvlText w:val="•"/>
      <w:lvlJc w:val="left"/>
      <w:pPr>
        <w:ind w:left="6212" w:hanging="128"/>
      </w:pPr>
      <w:rPr>
        <w:rFonts w:hint="default"/>
        <w:lang w:val="ro-RO" w:eastAsia="en-US" w:bidi="ar-SA"/>
      </w:rPr>
    </w:lvl>
    <w:lvl w:ilvl="7" w:tplc="0E1492F6">
      <w:numFmt w:val="bullet"/>
      <w:lvlText w:val="•"/>
      <w:lvlJc w:val="left"/>
      <w:pPr>
        <w:ind w:left="7181" w:hanging="128"/>
      </w:pPr>
      <w:rPr>
        <w:rFonts w:hint="default"/>
        <w:lang w:val="ro-RO" w:eastAsia="en-US" w:bidi="ar-SA"/>
      </w:rPr>
    </w:lvl>
    <w:lvl w:ilvl="8" w:tplc="6F4C2FEA">
      <w:numFmt w:val="bullet"/>
      <w:lvlText w:val="•"/>
      <w:lvlJc w:val="left"/>
      <w:pPr>
        <w:ind w:left="8150" w:hanging="128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2526A1"/>
    <w:rsid w:val="002526A1"/>
    <w:rsid w:val="00C8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C7C90D"/>
  <w15:docId w15:val="{0954DA60-735D-47A2-9866-FB00E168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Calibri" w:eastAsia="Calibri" w:hAnsi="Calibri" w:cs="Calibri"/>
      <w:lang w:val="ro-RO"/>
    </w:rPr>
  </w:style>
  <w:style w:type="paragraph" w:styleId="Cmsor1">
    <w:name w:val="heading 1"/>
    <w:basedOn w:val="Norml"/>
    <w:uiPriority w:val="1"/>
    <w:qFormat/>
    <w:pPr>
      <w:jc w:val="center"/>
      <w:outlineLvl w:val="0"/>
    </w:pPr>
    <w:rPr>
      <w:b/>
      <w:bCs/>
      <w:sz w:val="32"/>
      <w:szCs w:val="32"/>
    </w:rPr>
  </w:style>
  <w:style w:type="paragraph" w:styleId="Cmsor2">
    <w:name w:val="heading 2"/>
    <w:basedOn w:val="Norml"/>
    <w:uiPriority w:val="1"/>
    <w:qFormat/>
    <w:pPr>
      <w:spacing w:line="292" w:lineRule="exact"/>
      <w:ind w:left="516" w:hanging="241"/>
      <w:outlineLvl w:val="1"/>
    </w:pPr>
    <w:rPr>
      <w:b/>
      <w:bCs/>
      <w:sz w:val="24"/>
      <w:szCs w:val="24"/>
    </w:rPr>
  </w:style>
  <w:style w:type="paragraph" w:styleId="Cmsor3">
    <w:name w:val="heading 3"/>
    <w:basedOn w:val="Norml"/>
    <w:uiPriority w:val="1"/>
    <w:qFormat/>
    <w:pPr>
      <w:spacing w:line="292" w:lineRule="exact"/>
      <w:ind w:left="276"/>
      <w:outlineLvl w:val="2"/>
    </w:pPr>
    <w:rPr>
      <w:b/>
      <w:bCs/>
      <w:i/>
      <w:iCs/>
      <w:sz w:val="24"/>
      <w:szCs w:val="24"/>
      <w:u w:val="single"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276"/>
    </w:pPr>
    <w:rPr>
      <w:sz w:val="24"/>
      <w:szCs w:val="24"/>
    </w:rPr>
  </w:style>
  <w:style w:type="paragraph" w:styleId="Listaszerbekezds">
    <w:name w:val="List Paragraph"/>
    <w:basedOn w:val="Norml"/>
    <w:uiPriority w:val="1"/>
    <w:qFormat/>
    <w:pPr>
      <w:spacing w:line="292" w:lineRule="exact"/>
      <w:ind w:left="516" w:hanging="241"/>
    </w:pPr>
  </w:style>
  <w:style w:type="paragraph" w:customStyle="1" w:styleId="TableParagraph">
    <w:name w:val="Table Paragraph"/>
    <w:basedOn w:val="Norml"/>
    <w:uiPriority w:val="1"/>
    <w:qFormat/>
    <w:pPr>
      <w:ind w:left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office@sarcom.ro" TargetMode="External"/><Relationship Id="rId5" Type="http://schemas.openxmlformats.org/officeDocument/2006/relationships/hyperlink" Target="http://www.sarcom.ro/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931</Words>
  <Characters>6431</Characters>
  <Application>Microsoft Office Word</Application>
  <DocSecurity>0</DocSecurity>
  <Lines>53</Lines>
  <Paragraphs>14</Paragraphs>
  <ScaleCrop>false</ScaleCrop>
  <Company/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fsdagsdf</dc:creator>
  <cp:lastModifiedBy>PM9</cp:lastModifiedBy>
  <cp:revision>2</cp:revision>
  <dcterms:created xsi:type="dcterms:W3CDTF">2025-02-27T15:31:00Z</dcterms:created>
  <dcterms:modified xsi:type="dcterms:W3CDTF">2025-03-11T06:27:00Z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</Properties>
</file>