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E5D" w:rsidRDefault="009F1C4D">
      <w:pPr>
        <w:spacing w:before="49"/>
        <w:ind w:left="6390"/>
        <w:rPr>
          <w:sz w:val="20"/>
        </w:rPr>
      </w:pPr>
      <w:r>
        <w:rPr>
          <w:sz w:val="20"/>
          <w:lang w:val="hu"/>
        </w:rPr>
        <w:t>Újraszerkesztés dátuma: 12.09.2022</w:t>
      </w:r>
    </w:p>
    <w:p w:rsidR="00824E5D" w:rsidRDefault="00824E5D">
      <w:pPr>
        <w:pStyle w:val="Szvegtrzs"/>
        <w:spacing w:before="7"/>
        <w:ind w:left="0"/>
      </w:pPr>
    </w:p>
    <w:p w:rsidR="00824E5D" w:rsidRDefault="00824E5D">
      <w:pPr>
        <w:sectPr w:rsidR="00824E5D">
          <w:headerReference w:type="default" r:id="rId7"/>
          <w:footerReference w:type="default" r:id="rId8"/>
          <w:type w:val="continuous"/>
          <w:pgSz w:w="11910" w:h="16840"/>
          <w:pgMar w:top="1600" w:right="320" w:bottom="440" w:left="1140" w:header="266" w:footer="251" w:gutter="0"/>
          <w:pgNumType w:start="1"/>
          <w:cols w:space="708"/>
        </w:sectPr>
      </w:pPr>
    </w:p>
    <w:p w:rsidR="00824E5D" w:rsidRDefault="00824E5D">
      <w:pPr>
        <w:pStyle w:val="Szvegtrzs"/>
        <w:ind w:left="0"/>
      </w:pPr>
    </w:p>
    <w:p w:rsidR="00824E5D" w:rsidRDefault="00824E5D">
      <w:pPr>
        <w:pStyle w:val="Szvegtrzs"/>
        <w:ind w:left="0"/>
      </w:pPr>
    </w:p>
    <w:p w:rsidR="00824E5D" w:rsidRDefault="00824E5D">
      <w:pPr>
        <w:pStyle w:val="Szvegtrzs"/>
        <w:ind w:left="0"/>
      </w:pPr>
    </w:p>
    <w:p w:rsidR="00824E5D" w:rsidRDefault="009F1C4D">
      <w:pPr>
        <w:pStyle w:val="Listaszerbekezds"/>
        <w:numPr>
          <w:ilvl w:val="0"/>
          <w:numId w:val="4"/>
        </w:numPr>
        <w:tabs>
          <w:tab w:val="left" w:pos="517"/>
        </w:tabs>
        <w:spacing w:before="188"/>
        <w:ind w:hanging="241"/>
        <w:rPr>
          <w:b/>
          <w:sz w:val="24"/>
        </w:rPr>
      </w:pPr>
      <w:r>
        <w:rPr>
          <w:b/>
          <w:bCs/>
          <w:sz w:val="24"/>
          <w:lang w:val="hu"/>
        </w:rPr>
        <w:t>Termékleírás</w:t>
      </w:r>
    </w:p>
    <w:p w:rsidR="00824E5D" w:rsidRDefault="009F1C4D">
      <w:pPr>
        <w:pStyle w:val="Cm"/>
      </w:pPr>
      <w:r>
        <w:rPr>
          <w:b w:val="0"/>
          <w:bCs w:val="0"/>
          <w:lang w:val="hu"/>
        </w:rPr>
        <w:br w:type="column"/>
      </w:r>
      <w:r>
        <w:rPr>
          <w:lang w:val="hu"/>
        </w:rPr>
        <w:lastRenderedPageBreak/>
        <w:t>STICKY</w:t>
      </w:r>
    </w:p>
    <w:p w:rsidR="00824E5D" w:rsidRDefault="009F1C4D">
      <w:pPr>
        <w:pStyle w:val="Cm"/>
        <w:spacing w:before="170"/>
      </w:pPr>
      <w:r>
        <w:rPr>
          <w:lang w:val="hu"/>
        </w:rPr>
        <w:t>SZILIKON DÍSZÍTŐVAKOLAT</w:t>
      </w:r>
    </w:p>
    <w:p w:rsidR="00824E5D" w:rsidRDefault="00824E5D">
      <w:pPr>
        <w:sectPr w:rsidR="00824E5D">
          <w:type w:val="continuous"/>
          <w:pgSz w:w="11910" w:h="16840"/>
          <w:pgMar w:top="1600" w:right="320" w:bottom="440" w:left="1140" w:header="266" w:footer="251" w:gutter="0"/>
          <w:cols w:num="2" w:space="708" w:equalWidth="0">
            <w:col w:w="2243" w:space="342"/>
            <w:col w:w="7865"/>
          </w:cols>
        </w:sectPr>
      </w:pPr>
    </w:p>
    <w:p w:rsidR="00824E5D" w:rsidRDefault="009F1C4D">
      <w:pPr>
        <w:pStyle w:val="Szvegtrzs"/>
        <w:spacing w:line="242" w:lineRule="auto"/>
        <w:ind w:right="535"/>
      </w:pPr>
      <w:r>
        <w:rPr>
          <w:lang w:val="hu"/>
        </w:rPr>
        <w:lastRenderedPageBreak/>
        <w:t>Akril-kopolimereken, szilikon-adalékanyagokon, cellulózszálakon, márványszemcséken, töltőanyagokon, pigmenteken, befejező adalékanyagokon alapuló vizes diszperzió.</w:t>
      </w:r>
    </w:p>
    <w:p w:rsidR="00824E5D" w:rsidRDefault="00824E5D">
      <w:pPr>
        <w:pStyle w:val="Szvegtrzs"/>
        <w:spacing w:before="6"/>
        <w:ind w:left="0"/>
        <w:rPr>
          <w:sz w:val="23"/>
        </w:rPr>
      </w:pPr>
    </w:p>
    <w:p w:rsidR="00824E5D" w:rsidRDefault="009F1C4D">
      <w:pPr>
        <w:pStyle w:val="Szvegtrzs"/>
        <w:ind w:right="2974"/>
      </w:pPr>
      <w:r>
        <w:rPr>
          <w:lang w:val="hu"/>
        </w:rPr>
        <w:t>Sticky Tencuiala Decorativa dekoratív vakolat szilikonnal, STRUKTURÁLT dekoratív megjelenéssel. A kívánt modelltől függően a következőképpen strukturálható:</w:t>
      </w:r>
    </w:p>
    <w:p w:rsidR="00824E5D" w:rsidRDefault="009F1C4D">
      <w:pPr>
        <w:spacing w:before="2" w:line="293" w:lineRule="exact"/>
        <w:ind w:left="996"/>
        <w:rPr>
          <w:sz w:val="24"/>
        </w:rPr>
      </w:pPr>
      <w:r>
        <w:rPr>
          <w:b/>
          <w:bCs/>
          <w:sz w:val="24"/>
          <w:lang w:val="hu"/>
        </w:rPr>
        <w:t xml:space="preserve">kör alakú </w:t>
      </w:r>
      <w:r>
        <w:rPr>
          <w:sz w:val="24"/>
          <w:lang w:val="hu"/>
        </w:rPr>
        <w:t xml:space="preserve">– </w:t>
      </w:r>
      <w:r>
        <w:rPr>
          <w:i/>
          <w:iCs/>
          <w:sz w:val="24"/>
          <w:lang w:val="hu"/>
        </w:rPr>
        <w:t xml:space="preserve">kerek hornyok </w:t>
      </w:r>
      <w:r>
        <w:rPr>
          <w:sz w:val="24"/>
          <w:lang w:val="hu"/>
        </w:rPr>
        <w:t>– körkörös mozdulatokkal;</w:t>
      </w:r>
    </w:p>
    <w:p w:rsidR="00824E5D" w:rsidRDefault="009F1C4D">
      <w:pPr>
        <w:ind w:left="996"/>
        <w:rPr>
          <w:sz w:val="24"/>
        </w:rPr>
      </w:pPr>
      <w:r>
        <w:rPr>
          <w:b/>
          <w:bCs/>
          <w:i/>
          <w:iCs/>
          <w:sz w:val="24"/>
          <w:lang w:val="hu"/>
        </w:rPr>
        <w:t xml:space="preserve">egyenes </w:t>
      </w:r>
      <w:r>
        <w:rPr>
          <w:i/>
          <w:iCs/>
          <w:sz w:val="24"/>
          <w:lang w:val="hu"/>
        </w:rPr>
        <w:t xml:space="preserve">- egyenes hornyok - </w:t>
      </w:r>
      <w:r>
        <w:rPr>
          <w:b/>
          <w:bCs/>
          <w:i/>
          <w:iCs/>
          <w:sz w:val="24"/>
          <w:lang w:val="hu"/>
        </w:rPr>
        <w:t>fakéreg</w:t>
      </w:r>
      <w:r>
        <w:rPr>
          <w:sz w:val="24"/>
          <w:lang w:val="hu"/>
        </w:rPr>
        <w:t>.</w:t>
      </w:r>
    </w:p>
    <w:p w:rsidR="00824E5D" w:rsidRDefault="00824E5D">
      <w:pPr>
        <w:pStyle w:val="Szvegtrzs"/>
        <w:spacing w:before="10"/>
        <w:ind w:left="0"/>
        <w:rPr>
          <w:sz w:val="23"/>
        </w:rPr>
      </w:pPr>
    </w:p>
    <w:p w:rsidR="00824E5D" w:rsidRDefault="009F1C4D">
      <w:pPr>
        <w:ind w:left="276"/>
        <w:rPr>
          <w:i/>
          <w:sz w:val="24"/>
        </w:rPr>
      </w:pPr>
      <w:r>
        <w:rPr>
          <w:b/>
          <w:bCs/>
          <w:i/>
          <w:iCs/>
          <w:sz w:val="24"/>
          <w:lang w:val="hu"/>
        </w:rPr>
        <w:t>Elérhető szemcseméretek</w:t>
      </w:r>
      <w:r>
        <w:rPr>
          <w:sz w:val="24"/>
          <w:lang w:val="hu"/>
        </w:rPr>
        <w:t xml:space="preserve">: </w:t>
      </w:r>
      <w:r>
        <w:rPr>
          <w:i/>
          <w:iCs/>
          <w:sz w:val="24"/>
          <w:lang w:val="hu"/>
        </w:rPr>
        <w:t>1; 1,5; 2.</w:t>
      </w:r>
    </w:p>
    <w:p w:rsidR="00824E5D" w:rsidRDefault="00824E5D">
      <w:pPr>
        <w:pStyle w:val="Szvegtrzs"/>
        <w:spacing w:before="2"/>
        <w:ind w:left="0"/>
        <w:rPr>
          <w:i/>
        </w:rPr>
      </w:pPr>
    </w:p>
    <w:p w:rsidR="00824E5D" w:rsidRDefault="009F1C4D">
      <w:pPr>
        <w:ind w:left="276" w:right="1067"/>
        <w:jc w:val="both"/>
        <w:rPr>
          <w:sz w:val="23"/>
        </w:rPr>
      </w:pPr>
      <w:r>
        <w:rPr>
          <w:sz w:val="24"/>
          <w:lang w:val="hu"/>
        </w:rPr>
        <w:t xml:space="preserve">Sticky Tencuiala Decorativa szilikonos dekoratív vakolat, </w:t>
      </w:r>
      <w:r>
        <w:rPr>
          <w:b/>
          <w:bCs/>
          <w:i/>
          <w:iCs/>
          <w:sz w:val="24"/>
          <w:lang w:val="hu"/>
        </w:rPr>
        <w:t>2-es</w:t>
      </w:r>
      <w:r>
        <w:rPr>
          <w:sz w:val="24"/>
          <w:lang w:val="hu"/>
        </w:rPr>
        <w:t xml:space="preserve"> </w:t>
      </w:r>
      <w:r>
        <w:rPr>
          <w:b/>
          <w:bCs/>
          <w:i/>
          <w:iCs/>
          <w:sz w:val="24"/>
          <w:lang w:val="hu"/>
        </w:rPr>
        <w:t>szemcsemérettel</w:t>
      </w:r>
      <w:r>
        <w:rPr>
          <w:i/>
          <w:iCs/>
          <w:sz w:val="24"/>
          <w:lang w:val="hu"/>
        </w:rPr>
        <w:t xml:space="preserve">, </w:t>
      </w:r>
      <w:r>
        <w:rPr>
          <w:sz w:val="24"/>
          <w:lang w:val="hu"/>
        </w:rPr>
        <w:t xml:space="preserve">használható </w:t>
      </w:r>
      <w:r>
        <w:rPr>
          <w:i/>
          <w:iCs/>
          <w:sz w:val="24"/>
          <w:lang w:val="hu"/>
        </w:rPr>
        <w:t>fehéren</w:t>
      </w:r>
      <w:r>
        <w:rPr>
          <w:b/>
          <w:bCs/>
          <w:sz w:val="24"/>
          <w:lang w:val="hu"/>
        </w:rPr>
        <w:t xml:space="preserve">, </w:t>
      </w:r>
      <w:r>
        <w:rPr>
          <w:sz w:val="24"/>
          <w:lang w:val="hu"/>
        </w:rPr>
        <w:t>vízbázisú ásványi festéshez tervezett Sticky Color szuperkoncentrált pigmentekkel árnyékolható, számítógépes színezőrendszer segítségével, vagy használhatók</w:t>
      </w:r>
      <w:r w:rsidR="00FE66B3">
        <w:rPr>
          <w:sz w:val="24"/>
          <w:lang w:val="hu"/>
        </w:rPr>
        <w:t xml:space="preserve"> </w:t>
      </w:r>
      <w:r>
        <w:rPr>
          <w:sz w:val="23"/>
          <w:lang w:val="hu"/>
        </w:rPr>
        <w:t>a rendelkezésre álló, felhasználásra kész árnyalatok (a színkártya szerint):</w:t>
      </w:r>
    </w:p>
    <w:p w:rsidR="00824E5D" w:rsidRDefault="009F1C4D">
      <w:pPr>
        <w:spacing w:before="3"/>
        <w:ind w:left="276" w:right="535"/>
        <w:rPr>
          <w:b/>
          <w:sz w:val="20"/>
        </w:rPr>
      </w:pPr>
      <w:r>
        <w:rPr>
          <w:b/>
          <w:bCs/>
          <w:i/>
          <w:iCs/>
          <w:sz w:val="20"/>
          <w:lang w:val="hu"/>
        </w:rPr>
        <w:t xml:space="preserve">FEHÉR; TERRA, TERACOTTA, MANDARIN, MAROKKÓ, CAPPUCCINO, KONYAK, MARONE, SZAHARA, TRÓPUSI, VILÁGOSSZÜRKE, ANTRACITSZÜRKE </w:t>
      </w:r>
      <w:r>
        <w:rPr>
          <w:b/>
          <w:bCs/>
          <w:sz w:val="20"/>
          <w:lang w:val="hu"/>
        </w:rPr>
        <w:t>.</w:t>
      </w:r>
    </w:p>
    <w:p w:rsidR="00824E5D" w:rsidRDefault="00824E5D">
      <w:pPr>
        <w:pStyle w:val="Szvegtrzs"/>
        <w:spacing w:before="10"/>
        <w:ind w:left="0"/>
        <w:rPr>
          <w:b/>
          <w:sz w:val="19"/>
        </w:rPr>
      </w:pPr>
    </w:p>
    <w:p w:rsidR="00824E5D" w:rsidRDefault="009F1C4D">
      <w:pPr>
        <w:pStyle w:val="Szvegtrzs"/>
        <w:ind w:right="535"/>
      </w:pPr>
      <w:r>
        <w:rPr>
          <w:lang w:val="hu"/>
        </w:rPr>
        <w:t xml:space="preserve">Sticky Tencuiala Decorativa szilikonos dekoratív vakolat, </w:t>
      </w:r>
      <w:r>
        <w:rPr>
          <w:b/>
          <w:bCs/>
          <w:i/>
          <w:iCs/>
          <w:lang w:val="hu"/>
        </w:rPr>
        <w:t>1; 1.5-es</w:t>
      </w:r>
      <w:r>
        <w:rPr>
          <w:lang w:val="hu"/>
        </w:rPr>
        <w:t xml:space="preserve"> </w:t>
      </w:r>
      <w:r>
        <w:rPr>
          <w:b/>
          <w:bCs/>
          <w:i/>
          <w:iCs/>
          <w:lang w:val="hu"/>
        </w:rPr>
        <w:t>szemcsemérettel</w:t>
      </w:r>
      <w:r>
        <w:rPr>
          <w:lang w:val="hu"/>
        </w:rPr>
        <w:t>, használható fehér színben</w:t>
      </w:r>
      <w:r>
        <w:rPr>
          <w:b/>
          <w:bCs/>
          <w:lang w:val="hu"/>
        </w:rPr>
        <w:t xml:space="preserve">, </w:t>
      </w:r>
      <w:r>
        <w:rPr>
          <w:lang w:val="hu"/>
        </w:rPr>
        <w:t>olyan</w:t>
      </w:r>
      <w:r>
        <w:rPr>
          <w:b/>
          <w:bCs/>
          <w:lang w:val="hu"/>
        </w:rPr>
        <w:t xml:space="preserve"> </w:t>
      </w:r>
      <w:r>
        <w:rPr>
          <w:lang w:val="hu"/>
        </w:rPr>
        <w:t>Sticky Color</w:t>
      </w:r>
      <w:r>
        <w:rPr>
          <w:b/>
          <w:bCs/>
          <w:lang w:val="hu"/>
        </w:rPr>
        <w:t xml:space="preserve"> </w:t>
      </w:r>
      <w:r>
        <w:rPr>
          <w:lang w:val="hu"/>
        </w:rPr>
        <w:t>szuperkoncentrált pigmentekkel árnyékolható, amelyeket vízalapú ásványi festésre szántak, vagy a számítógépes színező rendszer segítségével.</w:t>
      </w:r>
    </w:p>
    <w:p w:rsidR="00824E5D" w:rsidRDefault="00824E5D">
      <w:pPr>
        <w:pStyle w:val="Szvegtrzs"/>
        <w:spacing w:before="3"/>
        <w:ind w:left="0"/>
        <w:rPr>
          <w:sz w:val="20"/>
        </w:rPr>
      </w:pPr>
    </w:p>
    <w:p w:rsidR="00824E5D" w:rsidRDefault="009F1C4D">
      <w:pPr>
        <w:ind w:left="276" w:right="535"/>
        <w:rPr>
          <w:i/>
          <w:sz w:val="20"/>
        </w:rPr>
      </w:pPr>
      <w:r>
        <w:rPr>
          <w:i/>
          <w:iCs/>
          <w:sz w:val="20"/>
          <w:lang w:val="hu"/>
        </w:rPr>
        <w:t>Figyelem! A gyakorlatban kis vizuális különbségek fordulhatnak elő a színezett termékek és a kártya végső színei között, amelyeket a következők határoznak meg és befolyásolnak: az alkalmazott fólia megjelenése, szerkezete és vastagsága, a fényáram intenzitása és a fény típusa (természetes vagy mesterséges), amely alatt a színt értékelik.</w:t>
      </w:r>
    </w:p>
    <w:p w:rsidR="00824E5D" w:rsidRDefault="00824E5D">
      <w:pPr>
        <w:pStyle w:val="Szvegtrzs"/>
        <w:spacing w:before="9"/>
        <w:ind w:left="0"/>
        <w:rPr>
          <w:i/>
          <w:sz w:val="23"/>
        </w:rPr>
      </w:pPr>
    </w:p>
    <w:p w:rsidR="00824E5D" w:rsidRDefault="009F1C4D">
      <w:pPr>
        <w:pStyle w:val="Listaszerbekezds"/>
        <w:numPr>
          <w:ilvl w:val="0"/>
          <w:numId w:val="4"/>
        </w:numPr>
        <w:tabs>
          <w:tab w:val="left" w:pos="517"/>
        </w:tabs>
        <w:spacing w:line="293" w:lineRule="exact"/>
        <w:ind w:hanging="241"/>
        <w:jc w:val="both"/>
        <w:rPr>
          <w:b/>
          <w:sz w:val="24"/>
        </w:rPr>
      </w:pPr>
      <w:r>
        <w:rPr>
          <w:b/>
          <w:bCs/>
          <w:sz w:val="24"/>
          <w:lang w:val="hu"/>
        </w:rPr>
        <w:t>Felhasználási terület</w:t>
      </w:r>
    </w:p>
    <w:p w:rsidR="00824E5D" w:rsidRDefault="009F1C4D">
      <w:pPr>
        <w:pStyle w:val="Szvegtrzs"/>
        <w:ind w:right="516"/>
        <w:jc w:val="both"/>
      </w:pPr>
      <w:r>
        <w:rPr>
          <w:lang w:val="hu"/>
        </w:rPr>
        <w:t>A külső és/vagy belső falak dekorációs és védőburkolata, különösen hőszigetelő rendszereken (polisztirol , ásványi/ bazaltgyapot) történő alkalmazásra. Bármilyen ásványi alapú felületen alkalmazható, mint például a szokásos mészcement vakolatok, gipszvakolat, beton, gipszkarton, valamint a súrlódásnak és kopásnak ellenálló régi festékeken.</w:t>
      </w:r>
    </w:p>
    <w:p w:rsidR="00824E5D" w:rsidRDefault="00824E5D">
      <w:pPr>
        <w:pStyle w:val="Szvegtrzs"/>
        <w:spacing w:before="11"/>
        <w:ind w:left="0"/>
        <w:rPr>
          <w:sz w:val="23"/>
        </w:rPr>
      </w:pPr>
    </w:p>
    <w:p w:rsidR="00824E5D" w:rsidRDefault="009F1C4D">
      <w:pPr>
        <w:pStyle w:val="Listaszerbekezds"/>
        <w:numPr>
          <w:ilvl w:val="0"/>
          <w:numId w:val="4"/>
        </w:numPr>
        <w:tabs>
          <w:tab w:val="left" w:pos="517"/>
        </w:tabs>
        <w:ind w:hanging="241"/>
        <w:rPr>
          <w:b/>
          <w:sz w:val="24"/>
        </w:rPr>
      </w:pPr>
      <w:r>
        <w:rPr>
          <w:b/>
          <w:bCs/>
          <w:sz w:val="24"/>
          <w:lang w:val="hu"/>
        </w:rPr>
        <w:t>Főbb jellemzők:</w:t>
      </w:r>
    </w:p>
    <w:p w:rsidR="00824E5D" w:rsidRDefault="009F1C4D">
      <w:pPr>
        <w:pStyle w:val="Listaszerbekezds"/>
        <w:numPr>
          <w:ilvl w:val="1"/>
          <w:numId w:val="4"/>
        </w:numPr>
        <w:tabs>
          <w:tab w:val="left" w:pos="1356"/>
          <w:tab w:val="left" w:pos="1357"/>
        </w:tabs>
        <w:spacing w:before="3"/>
        <w:ind w:right="524"/>
        <w:rPr>
          <w:sz w:val="24"/>
        </w:rPr>
      </w:pPr>
      <w:r>
        <w:rPr>
          <w:sz w:val="24"/>
          <w:lang w:val="hu"/>
        </w:rPr>
        <w:t>a fólia átereszti a vízgőzt és vízhatlan, a szilikon adalékok hidrofób jellege miatt;</w:t>
      </w:r>
    </w:p>
    <w:p w:rsidR="00824E5D" w:rsidRDefault="009F1C4D">
      <w:pPr>
        <w:pStyle w:val="Listaszerbekezds"/>
        <w:numPr>
          <w:ilvl w:val="1"/>
          <w:numId w:val="4"/>
        </w:numPr>
        <w:tabs>
          <w:tab w:val="left" w:pos="1356"/>
          <w:tab w:val="left" w:pos="1357"/>
        </w:tabs>
        <w:spacing w:line="303" w:lineRule="exact"/>
        <w:rPr>
          <w:sz w:val="24"/>
        </w:rPr>
      </w:pPr>
      <w:r>
        <w:rPr>
          <w:sz w:val="24"/>
          <w:lang w:val="hu"/>
        </w:rPr>
        <w:t>könnyű alkalmazás és kiváló kezelhetőség;</w:t>
      </w:r>
    </w:p>
    <w:p w:rsidR="00824E5D" w:rsidRDefault="009F1C4D">
      <w:pPr>
        <w:pStyle w:val="Listaszerbekezds"/>
        <w:numPr>
          <w:ilvl w:val="1"/>
          <w:numId w:val="4"/>
        </w:numPr>
        <w:tabs>
          <w:tab w:val="left" w:pos="1356"/>
          <w:tab w:val="left" w:pos="1357"/>
        </w:tabs>
        <w:spacing w:before="2" w:line="305" w:lineRule="exact"/>
        <w:rPr>
          <w:sz w:val="24"/>
        </w:rPr>
      </w:pPr>
      <w:r>
        <w:rPr>
          <w:sz w:val="24"/>
          <w:lang w:val="hu"/>
        </w:rPr>
        <w:t>fagyás-olvadás, karcolás, mechanikai ütésállóság;</w:t>
      </w:r>
    </w:p>
    <w:p w:rsidR="00824E5D" w:rsidRDefault="009F1C4D">
      <w:pPr>
        <w:pStyle w:val="Listaszerbekezds"/>
        <w:numPr>
          <w:ilvl w:val="1"/>
          <w:numId w:val="4"/>
        </w:numPr>
        <w:tabs>
          <w:tab w:val="left" w:pos="1356"/>
          <w:tab w:val="left" w:pos="1357"/>
        </w:tabs>
        <w:spacing w:line="305" w:lineRule="exact"/>
        <w:rPr>
          <w:sz w:val="24"/>
        </w:rPr>
      </w:pPr>
      <w:r>
        <w:rPr>
          <w:sz w:val="24"/>
          <w:lang w:val="hu"/>
        </w:rPr>
        <w:t>dekorálás különböző árnyalatokban.</w:t>
      </w:r>
    </w:p>
    <w:p w:rsidR="00824E5D" w:rsidRDefault="00824E5D">
      <w:pPr>
        <w:spacing w:line="305" w:lineRule="exact"/>
        <w:rPr>
          <w:sz w:val="24"/>
        </w:rPr>
        <w:sectPr w:rsidR="00824E5D">
          <w:type w:val="continuous"/>
          <w:pgSz w:w="11910" w:h="16840"/>
          <w:pgMar w:top="1600" w:right="320" w:bottom="440" w:left="1140" w:header="266" w:footer="251" w:gutter="0"/>
          <w:cols w:space="708"/>
        </w:sectPr>
      </w:pPr>
    </w:p>
    <w:p w:rsidR="00824E5D" w:rsidRDefault="009F1C4D">
      <w:pPr>
        <w:pStyle w:val="Listaszerbekezds"/>
        <w:numPr>
          <w:ilvl w:val="0"/>
          <w:numId w:val="4"/>
        </w:numPr>
        <w:tabs>
          <w:tab w:val="left" w:pos="517"/>
        </w:tabs>
        <w:spacing w:before="47" w:after="4"/>
        <w:ind w:hanging="241"/>
        <w:rPr>
          <w:b/>
          <w:sz w:val="24"/>
        </w:rPr>
      </w:pPr>
      <w:r>
        <w:rPr>
          <w:b/>
          <w:bCs/>
          <w:sz w:val="24"/>
          <w:lang w:val="hu"/>
        </w:rPr>
        <w:lastRenderedPageBreak/>
        <w:t>Műszaki jellemzők:</w:t>
      </w:r>
    </w:p>
    <w:tbl>
      <w:tblPr>
        <w:tblStyle w:val="TableNormal"/>
        <w:tblW w:w="0" w:type="auto"/>
        <w:tblInd w:w="157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6"/>
        <w:gridCol w:w="3177"/>
        <w:gridCol w:w="3602"/>
        <w:gridCol w:w="2701"/>
      </w:tblGrid>
      <w:tr w:rsidR="00824E5D">
        <w:trPr>
          <w:trHeight w:val="487"/>
        </w:trPr>
        <w:tc>
          <w:tcPr>
            <w:tcW w:w="696" w:type="dxa"/>
          </w:tcPr>
          <w:p w:rsidR="00824E5D" w:rsidRDefault="009F1C4D" w:rsidP="009F1C4D">
            <w:pPr>
              <w:pStyle w:val="TableParagraph"/>
              <w:spacing w:line="244" w:lineRule="exact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Krit. sz.</w:t>
            </w:r>
          </w:p>
        </w:tc>
        <w:tc>
          <w:tcPr>
            <w:tcW w:w="3177" w:type="dxa"/>
          </w:tcPr>
          <w:p w:rsidR="00824E5D" w:rsidRDefault="009F1C4D">
            <w:pPr>
              <w:pStyle w:val="TableParagraph"/>
              <w:spacing w:before="121"/>
              <w:ind w:left="145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JELLEMZŐ</w:t>
            </w:r>
          </w:p>
        </w:tc>
        <w:tc>
          <w:tcPr>
            <w:tcW w:w="3602" w:type="dxa"/>
          </w:tcPr>
          <w:p w:rsidR="00824E5D" w:rsidRDefault="009F1C4D">
            <w:pPr>
              <w:pStyle w:val="TableParagraph"/>
              <w:spacing w:line="244" w:lineRule="exact"/>
              <w:ind w:left="446" w:right="403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ELFOGADHATÓSÁGI</w:t>
            </w:r>
          </w:p>
          <w:p w:rsidR="00824E5D" w:rsidRDefault="009F1C4D">
            <w:pPr>
              <w:pStyle w:val="TableParagraph"/>
              <w:spacing w:before="0" w:line="222" w:lineRule="exact"/>
              <w:ind w:left="446" w:right="403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FELTÉTELEK</w:t>
            </w:r>
          </w:p>
        </w:tc>
        <w:tc>
          <w:tcPr>
            <w:tcW w:w="2701" w:type="dxa"/>
          </w:tcPr>
          <w:p w:rsidR="00824E5D" w:rsidRDefault="009F1C4D">
            <w:pPr>
              <w:pStyle w:val="TableParagraph"/>
              <w:ind w:left="217" w:right="176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ELEMZÉSI MÓDSZER</w:t>
            </w:r>
          </w:p>
        </w:tc>
      </w:tr>
      <w:tr w:rsidR="00824E5D">
        <w:trPr>
          <w:trHeight w:val="242"/>
        </w:trPr>
        <w:tc>
          <w:tcPr>
            <w:tcW w:w="696" w:type="dxa"/>
          </w:tcPr>
          <w:p w:rsidR="00824E5D" w:rsidRDefault="009F1C4D">
            <w:pPr>
              <w:pStyle w:val="TableParagraph"/>
              <w:spacing w:line="222" w:lineRule="exact"/>
              <w:ind w:left="301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0</w:t>
            </w:r>
          </w:p>
        </w:tc>
        <w:tc>
          <w:tcPr>
            <w:tcW w:w="3177" w:type="dxa"/>
          </w:tcPr>
          <w:p w:rsidR="00824E5D" w:rsidRDefault="009F1C4D">
            <w:pPr>
              <w:pStyle w:val="TableParagraph"/>
              <w:spacing w:line="222" w:lineRule="exact"/>
              <w:ind w:left="53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1</w:t>
            </w:r>
          </w:p>
        </w:tc>
        <w:tc>
          <w:tcPr>
            <w:tcW w:w="3602" w:type="dxa"/>
          </w:tcPr>
          <w:p w:rsidR="00824E5D" w:rsidRDefault="009F1C4D">
            <w:pPr>
              <w:pStyle w:val="TableParagraph"/>
              <w:spacing w:line="222" w:lineRule="exact"/>
              <w:ind w:left="44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2</w:t>
            </w:r>
          </w:p>
        </w:tc>
        <w:tc>
          <w:tcPr>
            <w:tcW w:w="2701" w:type="dxa"/>
          </w:tcPr>
          <w:p w:rsidR="00824E5D" w:rsidRDefault="009F1C4D">
            <w:pPr>
              <w:pStyle w:val="TableParagraph"/>
              <w:spacing w:line="222" w:lineRule="exact"/>
              <w:ind w:left="218" w:right="176"/>
              <w:jc w:val="center"/>
              <w:rPr>
                <w:b/>
                <w:sz w:val="20"/>
              </w:rPr>
            </w:pPr>
            <w:r>
              <w:rPr>
                <w:b/>
                <w:bCs/>
                <w:sz w:val="20"/>
                <w:lang w:val="hu"/>
              </w:rPr>
              <w:t>3.</w:t>
            </w:r>
          </w:p>
        </w:tc>
      </w:tr>
      <w:tr w:rsidR="00824E5D">
        <w:trPr>
          <w:trHeight w:val="247"/>
        </w:trPr>
        <w:tc>
          <w:tcPr>
            <w:tcW w:w="696" w:type="dxa"/>
          </w:tcPr>
          <w:p w:rsidR="00824E5D" w:rsidRDefault="009F1C4D">
            <w:pPr>
              <w:pStyle w:val="TableParagraph"/>
              <w:spacing w:line="226" w:lineRule="exact"/>
              <w:ind w:left="293"/>
              <w:rPr>
                <w:b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  <w:lang w:val="hu"/>
              </w:rPr>
              <w:t>A</w:t>
            </w:r>
          </w:p>
        </w:tc>
        <w:tc>
          <w:tcPr>
            <w:tcW w:w="9480" w:type="dxa"/>
            <w:gridSpan w:val="3"/>
          </w:tcPr>
          <w:p w:rsidR="00824E5D" w:rsidRDefault="009F1C4D">
            <w:pPr>
              <w:pStyle w:val="TableParagraph"/>
              <w:spacing w:line="226" w:lineRule="exact"/>
              <w:rPr>
                <w:b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  <w:lang w:val="hu"/>
              </w:rPr>
              <w:t>Termékjellemzők</w:t>
            </w:r>
          </w:p>
        </w:tc>
      </w:tr>
      <w:tr w:rsidR="00824E5D">
        <w:trPr>
          <w:trHeight w:val="486"/>
        </w:trPr>
        <w:tc>
          <w:tcPr>
            <w:tcW w:w="696" w:type="dxa"/>
            <w:tcBorders>
              <w:bottom w:val="single" w:sz="6" w:space="0" w:color="000000"/>
            </w:tcBorders>
          </w:tcPr>
          <w:p w:rsidR="00824E5D" w:rsidRDefault="009F1C4D">
            <w:pPr>
              <w:pStyle w:val="TableParagraph"/>
              <w:ind w:left="277"/>
              <w:rPr>
                <w:sz w:val="20"/>
              </w:rPr>
            </w:pPr>
            <w:r>
              <w:rPr>
                <w:sz w:val="20"/>
                <w:lang w:val="hu"/>
              </w:rPr>
              <w:t>1.</w:t>
            </w:r>
          </w:p>
        </w:tc>
        <w:tc>
          <w:tcPr>
            <w:tcW w:w="3177" w:type="dxa"/>
            <w:tcBorders>
              <w:bottom w:val="single" w:sz="6" w:space="0" w:color="000000"/>
            </w:tcBorders>
          </w:tcPr>
          <w:p w:rsidR="00824E5D" w:rsidRDefault="009F1C4D">
            <w:pPr>
              <w:pStyle w:val="TableParagraph"/>
              <w:rPr>
                <w:sz w:val="20"/>
              </w:rPr>
            </w:pPr>
            <w:r>
              <w:rPr>
                <w:sz w:val="20"/>
                <w:lang w:val="hu"/>
              </w:rPr>
              <w:t>Megjelenés</w:t>
            </w:r>
          </w:p>
        </w:tc>
        <w:tc>
          <w:tcPr>
            <w:tcW w:w="3602" w:type="dxa"/>
            <w:tcBorders>
              <w:bottom w:val="single" w:sz="6" w:space="0" w:color="000000"/>
            </w:tcBorders>
          </w:tcPr>
          <w:p w:rsidR="00824E5D" w:rsidRDefault="009F1C4D">
            <w:pPr>
              <w:pStyle w:val="TableParagraph"/>
              <w:spacing w:before="0" w:line="240" w:lineRule="atLeast"/>
              <w:ind w:left="646" w:hanging="453"/>
              <w:rPr>
                <w:sz w:val="20"/>
              </w:rPr>
            </w:pPr>
            <w:r>
              <w:rPr>
                <w:sz w:val="20"/>
                <w:lang w:val="hu"/>
              </w:rPr>
              <w:t>homogén paszta, viszkózus, 1,2-1,8 mm-es színes kvarcszemcsékkel</w:t>
            </w:r>
          </w:p>
        </w:tc>
        <w:tc>
          <w:tcPr>
            <w:tcW w:w="2701" w:type="dxa"/>
            <w:tcBorders>
              <w:bottom w:val="single" w:sz="6" w:space="0" w:color="000000"/>
            </w:tcBorders>
          </w:tcPr>
          <w:p w:rsidR="00824E5D" w:rsidRDefault="00824E5D">
            <w:pPr>
              <w:pStyle w:val="TableParagraph"/>
              <w:ind w:left="0"/>
              <w:rPr>
                <w:b/>
                <w:sz w:val="20"/>
              </w:rPr>
            </w:pPr>
          </w:p>
          <w:p w:rsidR="00824E5D" w:rsidRDefault="009F1C4D">
            <w:pPr>
              <w:pStyle w:val="TableParagraph"/>
              <w:spacing w:before="0" w:line="221" w:lineRule="exact"/>
              <w:ind w:left="219" w:right="176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vizuális</w:t>
            </w:r>
          </w:p>
        </w:tc>
      </w:tr>
      <w:tr w:rsidR="00824E5D">
        <w:trPr>
          <w:trHeight w:val="291"/>
        </w:trPr>
        <w:tc>
          <w:tcPr>
            <w:tcW w:w="696" w:type="dxa"/>
            <w:tcBorders>
              <w:top w:val="single" w:sz="6" w:space="0" w:color="000000"/>
              <w:bottom w:val="single" w:sz="6" w:space="0" w:color="000000"/>
            </w:tcBorders>
          </w:tcPr>
          <w:p w:rsidR="00824E5D" w:rsidRDefault="009F1C4D">
            <w:pPr>
              <w:pStyle w:val="TableParagraph"/>
              <w:spacing w:before="2"/>
              <w:ind w:left="277"/>
              <w:rPr>
                <w:sz w:val="20"/>
              </w:rPr>
            </w:pPr>
            <w:r>
              <w:rPr>
                <w:sz w:val="20"/>
                <w:lang w:val="hu"/>
              </w:rPr>
              <w:t>2.</w:t>
            </w:r>
          </w:p>
        </w:tc>
        <w:tc>
          <w:tcPr>
            <w:tcW w:w="3177" w:type="dxa"/>
            <w:tcBorders>
              <w:top w:val="single" w:sz="6" w:space="0" w:color="000000"/>
              <w:bottom w:val="single" w:sz="6" w:space="0" w:color="000000"/>
            </w:tcBorders>
          </w:tcPr>
          <w:p w:rsidR="00824E5D" w:rsidRDefault="009F1C4D">
            <w:pPr>
              <w:pStyle w:val="TableParagraph"/>
              <w:spacing w:before="0" w:line="271" w:lineRule="exact"/>
              <w:rPr>
                <w:sz w:val="24"/>
              </w:rPr>
            </w:pPr>
            <w:r>
              <w:rPr>
                <w:sz w:val="24"/>
                <w:lang w:val="hu"/>
              </w:rPr>
              <w:t>Sűrűség, g/cm</w:t>
            </w:r>
            <w:r>
              <w:rPr>
                <w:sz w:val="24"/>
                <w:vertAlign w:val="superscript"/>
                <w:lang w:val="hu"/>
              </w:rPr>
              <w:t>3</w:t>
            </w:r>
          </w:p>
        </w:tc>
        <w:tc>
          <w:tcPr>
            <w:tcW w:w="3602" w:type="dxa"/>
            <w:tcBorders>
              <w:top w:val="single" w:sz="6" w:space="0" w:color="000000"/>
              <w:bottom w:val="single" w:sz="6" w:space="0" w:color="000000"/>
            </w:tcBorders>
          </w:tcPr>
          <w:p w:rsidR="00824E5D" w:rsidRDefault="009F1C4D">
            <w:pPr>
              <w:pStyle w:val="TableParagraph"/>
              <w:spacing w:before="11" w:line="260" w:lineRule="exact"/>
              <w:ind w:left="445" w:right="404"/>
              <w:jc w:val="center"/>
            </w:pPr>
            <w:r>
              <w:rPr>
                <w:lang w:val="hu"/>
              </w:rPr>
              <w:t>1,75 – 1,95</w:t>
            </w:r>
          </w:p>
        </w:tc>
        <w:tc>
          <w:tcPr>
            <w:tcW w:w="2701" w:type="dxa"/>
            <w:tcBorders>
              <w:top w:val="single" w:sz="6" w:space="0" w:color="000000"/>
              <w:bottom w:val="single" w:sz="6" w:space="0" w:color="000000"/>
            </w:tcBorders>
          </w:tcPr>
          <w:p w:rsidR="00824E5D" w:rsidRDefault="009F1C4D">
            <w:pPr>
              <w:pStyle w:val="TableParagraph"/>
              <w:spacing w:before="0" w:line="271" w:lineRule="exact"/>
              <w:ind w:left="219" w:right="176"/>
              <w:jc w:val="center"/>
              <w:rPr>
                <w:sz w:val="24"/>
              </w:rPr>
            </w:pPr>
            <w:r>
              <w:rPr>
                <w:sz w:val="24"/>
                <w:lang w:val="hu"/>
              </w:rPr>
              <w:t>SR EN ISO 2811-1:2016</w:t>
            </w:r>
          </w:p>
        </w:tc>
      </w:tr>
      <w:tr w:rsidR="00824E5D">
        <w:trPr>
          <w:trHeight w:val="245"/>
        </w:trPr>
        <w:tc>
          <w:tcPr>
            <w:tcW w:w="696" w:type="dxa"/>
            <w:tcBorders>
              <w:top w:val="single" w:sz="6" w:space="0" w:color="000000"/>
            </w:tcBorders>
          </w:tcPr>
          <w:p w:rsidR="00824E5D" w:rsidRDefault="009F1C4D">
            <w:pPr>
              <w:pStyle w:val="TableParagraph"/>
              <w:spacing w:before="4" w:line="222" w:lineRule="exact"/>
              <w:ind w:left="277"/>
              <w:rPr>
                <w:sz w:val="20"/>
              </w:rPr>
            </w:pPr>
            <w:r>
              <w:rPr>
                <w:sz w:val="20"/>
                <w:lang w:val="hu"/>
              </w:rPr>
              <w:t>3.</w:t>
            </w:r>
          </w:p>
        </w:tc>
        <w:tc>
          <w:tcPr>
            <w:tcW w:w="3177" w:type="dxa"/>
            <w:tcBorders>
              <w:top w:val="single" w:sz="6" w:space="0" w:color="000000"/>
            </w:tcBorders>
          </w:tcPr>
          <w:p w:rsidR="00824E5D" w:rsidRDefault="009F1C4D">
            <w:pPr>
              <w:pStyle w:val="TableParagraph"/>
              <w:spacing w:before="4" w:line="222" w:lineRule="exact"/>
              <w:rPr>
                <w:sz w:val="20"/>
              </w:rPr>
            </w:pPr>
            <w:r>
              <w:rPr>
                <w:sz w:val="20"/>
                <w:lang w:val="hu"/>
              </w:rPr>
              <w:t>Nem illékony tartalom, %</w:t>
            </w:r>
          </w:p>
        </w:tc>
        <w:tc>
          <w:tcPr>
            <w:tcW w:w="3602" w:type="dxa"/>
            <w:tcBorders>
              <w:top w:val="single" w:sz="6" w:space="0" w:color="000000"/>
            </w:tcBorders>
          </w:tcPr>
          <w:p w:rsidR="00824E5D" w:rsidRDefault="009F1C4D">
            <w:pPr>
              <w:pStyle w:val="TableParagraph"/>
              <w:spacing w:before="4" w:line="222" w:lineRule="exact"/>
              <w:ind w:left="446" w:right="402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80 ± 5</w:t>
            </w:r>
          </w:p>
        </w:tc>
        <w:tc>
          <w:tcPr>
            <w:tcW w:w="2701" w:type="dxa"/>
            <w:tcBorders>
              <w:top w:val="single" w:sz="6" w:space="0" w:color="000000"/>
            </w:tcBorders>
          </w:tcPr>
          <w:p w:rsidR="00824E5D" w:rsidRDefault="009F1C4D">
            <w:pPr>
              <w:pStyle w:val="TableParagraph"/>
              <w:spacing w:before="4" w:line="222" w:lineRule="exact"/>
              <w:ind w:left="219" w:right="173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SR EN ISO 3251:2019</w:t>
            </w:r>
          </w:p>
        </w:tc>
      </w:tr>
      <w:tr w:rsidR="00824E5D">
        <w:trPr>
          <w:trHeight w:val="299"/>
        </w:trPr>
        <w:tc>
          <w:tcPr>
            <w:tcW w:w="696" w:type="dxa"/>
          </w:tcPr>
          <w:p w:rsidR="00824E5D" w:rsidRDefault="009F1C4D">
            <w:pPr>
              <w:pStyle w:val="TableParagraph"/>
              <w:ind w:left="297"/>
              <w:rPr>
                <w:b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  <w:lang w:val="hu"/>
              </w:rPr>
              <w:t>B</w:t>
            </w:r>
          </w:p>
        </w:tc>
        <w:tc>
          <w:tcPr>
            <w:tcW w:w="9480" w:type="dxa"/>
            <w:gridSpan w:val="3"/>
          </w:tcPr>
          <w:p w:rsidR="00824E5D" w:rsidRDefault="009F1C4D">
            <w:pPr>
              <w:pStyle w:val="TableParagraph"/>
              <w:rPr>
                <w:b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  <w:lang w:val="hu"/>
              </w:rPr>
              <w:t>A réteg jellemzői</w:t>
            </w:r>
          </w:p>
        </w:tc>
      </w:tr>
      <w:tr w:rsidR="00824E5D">
        <w:trPr>
          <w:trHeight w:val="246"/>
        </w:trPr>
        <w:tc>
          <w:tcPr>
            <w:tcW w:w="696" w:type="dxa"/>
            <w:tcBorders>
              <w:bottom w:val="single" w:sz="12" w:space="0" w:color="000000"/>
            </w:tcBorders>
          </w:tcPr>
          <w:p w:rsidR="00824E5D" w:rsidRDefault="009F1C4D">
            <w:pPr>
              <w:pStyle w:val="TableParagraph"/>
              <w:spacing w:before="5" w:line="221" w:lineRule="exact"/>
              <w:ind w:left="277"/>
              <w:rPr>
                <w:sz w:val="20"/>
              </w:rPr>
            </w:pPr>
            <w:r>
              <w:rPr>
                <w:sz w:val="20"/>
                <w:lang w:val="hu"/>
              </w:rPr>
              <w:t>1.</w:t>
            </w:r>
          </w:p>
        </w:tc>
        <w:tc>
          <w:tcPr>
            <w:tcW w:w="3177" w:type="dxa"/>
            <w:tcBorders>
              <w:bottom w:val="single" w:sz="12" w:space="0" w:color="000000"/>
            </w:tcBorders>
          </w:tcPr>
          <w:p w:rsidR="00824E5D" w:rsidRDefault="009F1C4D">
            <w:pPr>
              <w:pStyle w:val="TableParagraph"/>
              <w:spacing w:before="5" w:line="221" w:lineRule="exact"/>
              <w:rPr>
                <w:sz w:val="20"/>
              </w:rPr>
            </w:pPr>
            <w:r>
              <w:rPr>
                <w:sz w:val="20"/>
                <w:lang w:val="hu"/>
              </w:rPr>
              <w:t>Film megjelenésű</w:t>
            </w:r>
          </w:p>
        </w:tc>
        <w:tc>
          <w:tcPr>
            <w:tcW w:w="3602" w:type="dxa"/>
            <w:tcBorders>
              <w:bottom w:val="single" w:sz="12" w:space="0" w:color="000000"/>
            </w:tcBorders>
          </w:tcPr>
          <w:p w:rsidR="00824E5D" w:rsidRDefault="009F1C4D">
            <w:pPr>
              <w:pStyle w:val="TableParagraph"/>
              <w:spacing w:before="5" w:line="221" w:lineRule="exact"/>
              <w:ind w:left="446" w:right="404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durva, egyenletes, mozaikos kinézetű</w:t>
            </w:r>
          </w:p>
        </w:tc>
        <w:tc>
          <w:tcPr>
            <w:tcW w:w="2701" w:type="dxa"/>
            <w:tcBorders>
              <w:bottom w:val="single" w:sz="12" w:space="0" w:color="000000"/>
            </w:tcBorders>
          </w:tcPr>
          <w:p w:rsidR="00824E5D" w:rsidRDefault="009F1C4D">
            <w:pPr>
              <w:pStyle w:val="TableParagraph"/>
              <w:spacing w:before="5" w:line="221" w:lineRule="exact"/>
              <w:ind w:left="219" w:right="176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vizuális</w:t>
            </w:r>
          </w:p>
        </w:tc>
      </w:tr>
      <w:tr w:rsidR="00824E5D">
        <w:trPr>
          <w:trHeight w:val="242"/>
        </w:trPr>
        <w:tc>
          <w:tcPr>
            <w:tcW w:w="696" w:type="dxa"/>
            <w:tcBorders>
              <w:top w:val="single" w:sz="12" w:space="0" w:color="000000"/>
              <w:bottom w:val="single" w:sz="12" w:space="0" w:color="000000"/>
            </w:tcBorders>
          </w:tcPr>
          <w:p w:rsidR="00824E5D" w:rsidRDefault="009F1C4D">
            <w:pPr>
              <w:pStyle w:val="TableParagraph"/>
              <w:spacing w:before="0" w:line="221" w:lineRule="exact"/>
              <w:ind w:left="277"/>
              <w:rPr>
                <w:sz w:val="20"/>
              </w:rPr>
            </w:pPr>
            <w:r>
              <w:rPr>
                <w:sz w:val="20"/>
                <w:lang w:val="hu"/>
              </w:rPr>
              <w:t>2.</w:t>
            </w:r>
          </w:p>
        </w:tc>
        <w:tc>
          <w:tcPr>
            <w:tcW w:w="3177" w:type="dxa"/>
            <w:tcBorders>
              <w:top w:val="single" w:sz="12" w:space="0" w:color="000000"/>
              <w:bottom w:val="single" w:sz="12" w:space="0" w:color="000000"/>
            </w:tcBorders>
          </w:tcPr>
          <w:p w:rsidR="00824E5D" w:rsidRDefault="009F1C4D">
            <w:pPr>
              <w:pStyle w:val="TableParagraph"/>
              <w:spacing w:before="0" w:line="221" w:lineRule="exact"/>
              <w:rPr>
                <w:sz w:val="20"/>
              </w:rPr>
            </w:pPr>
            <w:r>
              <w:rPr>
                <w:sz w:val="20"/>
                <w:lang w:val="hu"/>
              </w:rPr>
              <w:t>Szín</w:t>
            </w:r>
          </w:p>
        </w:tc>
        <w:tc>
          <w:tcPr>
            <w:tcW w:w="3602" w:type="dxa"/>
            <w:tcBorders>
              <w:top w:val="single" w:sz="12" w:space="0" w:color="000000"/>
              <w:bottom w:val="single" w:sz="12" w:space="0" w:color="000000"/>
            </w:tcBorders>
          </w:tcPr>
          <w:p w:rsidR="00824E5D" w:rsidRDefault="009F1C4D">
            <w:pPr>
              <w:pStyle w:val="TableParagraph"/>
              <w:spacing w:before="0" w:line="221" w:lineRule="exact"/>
              <w:ind w:left="446" w:right="403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szabvány szerint</w:t>
            </w:r>
          </w:p>
        </w:tc>
        <w:tc>
          <w:tcPr>
            <w:tcW w:w="2701" w:type="dxa"/>
            <w:tcBorders>
              <w:top w:val="single" w:sz="12" w:space="0" w:color="000000"/>
              <w:bottom w:val="single" w:sz="12" w:space="0" w:color="000000"/>
            </w:tcBorders>
          </w:tcPr>
          <w:p w:rsidR="00824E5D" w:rsidRDefault="009F1C4D">
            <w:pPr>
              <w:pStyle w:val="TableParagraph"/>
              <w:spacing w:before="0" w:line="221" w:lineRule="exact"/>
              <w:ind w:left="219" w:right="176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vizuális</w:t>
            </w:r>
          </w:p>
        </w:tc>
      </w:tr>
      <w:tr w:rsidR="00824E5D">
        <w:trPr>
          <w:trHeight w:val="730"/>
        </w:trPr>
        <w:tc>
          <w:tcPr>
            <w:tcW w:w="696" w:type="dxa"/>
            <w:tcBorders>
              <w:top w:val="single" w:sz="12" w:space="0" w:color="000000"/>
              <w:bottom w:val="single" w:sz="12" w:space="0" w:color="000000"/>
            </w:tcBorders>
          </w:tcPr>
          <w:p w:rsidR="00824E5D" w:rsidRDefault="009F1C4D">
            <w:pPr>
              <w:pStyle w:val="TableParagraph"/>
              <w:spacing w:before="4"/>
              <w:ind w:left="277"/>
              <w:rPr>
                <w:sz w:val="20"/>
              </w:rPr>
            </w:pPr>
            <w:r>
              <w:rPr>
                <w:sz w:val="20"/>
                <w:lang w:val="hu"/>
              </w:rPr>
              <w:t>3.</w:t>
            </w:r>
          </w:p>
        </w:tc>
        <w:tc>
          <w:tcPr>
            <w:tcW w:w="3177" w:type="dxa"/>
            <w:tcBorders>
              <w:top w:val="single" w:sz="12" w:space="0" w:color="000000"/>
              <w:bottom w:val="single" w:sz="12" w:space="0" w:color="000000"/>
            </w:tcBorders>
          </w:tcPr>
          <w:p w:rsidR="00824E5D" w:rsidRDefault="009F1C4D">
            <w:pPr>
              <w:pStyle w:val="TableParagraph"/>
              <w:spacing w:before="4"/>
              <w:rPr>
                <w:sz w:val="20"/>
              </w:rPr>
            </w:pPr>
            <w:r>
              <w:rPr>
                <w:sz w:val="20"/>
                <w:lang w:val="hu"/>
              </w:rPr>
              <w:t>Száradási idő, 20ºC, óra</w:t>
            </w:r>
          </w:p>
          <w:p w:rsidR="00824E5D" w:rsidRDefault="009F1C4D">
            <w:pPr>
              <w:pStyle w:val="TableParagraph"/>
              <w:numPr>
                <w:ilvl w:val="0"/>
                <w:numId w:val="3"/>
              </w:numPr>
              <w:tabs>
                <w:tab w:val="left" w:pos="218"/>
              </w:tabs>
              <w:ind w:hanging="105"/>
              <w:rPr>
                <w:sz w:val="20"/>
              </w:rPr>
            </w:pPr>
            <w:r>
              <w:rPr>
                <w:sz w:val="20"/>
                <w:lang w:val="hu"/>
              </w:rPr>
              <w:t>részben</w:t>
            </w:r>
          </w:p>
          <w:p w:rsidR="00824E5D" w:rsidRDefault="009F1C4D">
            <w:pPr>
              <w:pStyle w:val="TableParagraph"/>
              <w:numPr>
                <w:ilvl w:val="0"/>
                <w:numId w:val="3"/>
              </w:numPr>
              <w:tabs>
                <w:tab w:val="left" w:pos="218"/>
              </w:tabs>
              <w:spacing w:before="0" w:line="217" w:lineRule="exact"/>
              <w:ind w:hanging="105"/>
              <w:rPr>
                <w:sz w:val="20"/>
              </w:rPr>
            </w:pPr>
            <w:r>
              <w:rPr>
                <w:sz w:val="20"/>
                <w:lang w:val="hu"/>
              </w:rPr>
              <w:t>összesen</w:t>
            </w:r>
          </w:p>
        </w:tc>
        <w:tc>
          <w:tcPr>
            <w:tcW w:w="3602" w:type="dxa"/>
            <w:tcBorders>
              <w:top w:val="single" w:sz="12" w:space="0" w:color="000000"/>
              <w:bottom w:val="single" w:sz="12" w:space="0" w:color="000000"/>
            </w:tcBorders>
          </w:tcPr>
          <w:p w:rsidR="00824E5D" w:rsidRDefault="00824E5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824E5D" w:rsidRDefault="009F1C4D">
            <w:pPr>
              <w:pStyle w:val="TableParagraph"/>
              <w:ind w:left="443" w:right="404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24</w:t>
            </w:r>
          </w:p>
          <w:p w:rsidR="00824E5D" w:rsidRDefault="009F1C4D">
            <w:pPr>
              <w:pStyle w:val="TableParagraph"/>
              <w:spacing w:before="0" w:line="217" w:lineRule="exact"/>
              <w:ind w:left="443" w:right="404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72</w:t>
            </w:r>
          </w:p>
        </w:tc>
        <w:tc>
          <w:tcPr>
            <w:tcW w:w="2701" w:type="dxa"/>
            <w:tcBorders>
              <w:top w:val="single" w:sz="12" w:space="0" w:color="000000"/>
              <w:bottom w:val="single" w:sz="12" w:space="0" w:color="000000"/>
            </w:tcBorders>
          </w:tcPr>
          <w:p w:rsidR="00824E5D" w:rsidRDefault="00824E5D">
            <w:pPr>
              <w:pStyle w:val="TableParagraph"/>
              <w:spacing w:before="4"/>
              <w:ind w:left="0"/>
              <w:rPr>
                <w:b/>
                <w:sz w:val="20"/>
              </w:rPr>
            </w:pPr>
          </w:p>
          <w:p w:rsidR="00824E5D" w:rsidRDefault="009F1C4D">
            <w:pPr>
              <w:pStyle w:val="TableParagraph"/>
              <w:ind w:left="215" w:right="176"/>
              <w:jc w:val="center"/>
              <w:rPr>
                <w:sz w:val="20"/>
              </w:rPr>
            </w:pPr>
            <w:r>
              <w:rPr>
                <w:sz w:val="20"/>
                <w:lang w:val="hu"/>
              </w:rPr>
              <w:t>SR EN ISO 9117-3:2010</w:t>
            </w:r>
          </w:p>
        </w:tc>
      </w:tr>
    </w:tbl>
    <w:p w:rsidR="00824E5D" w:rsidRDefault="00824E5D">
      <w:pPr>
        <w:pStyle w:val="Szvegtrzs"/>
        <w:spacing w:before="8"/>
        <w:ind w:left="0"/>
        <w:rPr>
          <w:b/>
        </w:rPr>
      </w:pPr>
    </w:p>
    <w:p w:rsidR="00824E5D" w:rsidRDefault="009F1C4D">
      <w:pPr>
        <w:pStyle w:val="Listaszerbekezds"/>
        <w:numPr>
          <w:ilvl w:val="0"/>
          <w:numId w:val="4"/>
        </w:numPr>
        <w:tabs>
          <w:tab w:val="left" w:pos="517"/>
        </w:tabs>
        <w:spacing w:line="292" w:lineRule="exact"/>
        <w:ind w:hanging="241"/>
        <w:rPr>
          <w:b/>
          <w:sz w:val="24"/>
        </w:rPr>
      </w:pPr>
      <w:r>
        <w:rPr>
          <w:b/>
          <w:bCs/>
          <w:sz w:val="24"/>
          <w:lang w:val="hu"/>
        </w:rPr>
        <w:t>Használat</w:t>
      </w:r>
    </w:p>
    <w:p w:rsidR="00824E5D" w:rsidRDefault="009F1C4D">
      <w:pPr>
        <w:spacing w:line="292" w:lineRule="exact"/>
        <w:ind w:left="276"/>
        <w:rPr>
          <w:b/>
          <w:sz w:val="24"/>
        </w:rPr>
      </w:pPr>
      <w:r>
        <w:rPr>
          <w:b/>
          <w:bCs/>
          <w:sz w:val="24"/>
          <w:lang w:val="hu"/>
        </w:rPr>
        <w:t>A termék előkészítése</w:t>
      </w:r>
    </w:p>
    <w:p w:rsidR="00824E5D" w:rsidRDefault="009F1C4D">
      <w:pPr>
        <w:pStyle w:val="Szvegtrzs"/>
      </w:pPr>
      <w:r>
        <w:rPr>
          <w:lang w:val="hu"/>
        </w:rPr>
        <w:t>A csomagolás felnyitása előtt törölje le a víz, olaj vagy egyéb szennyeződések nyomait, hogy megakadályozza a termék szennyeződését.</w:t>
      </w:r>
    </w:p>
    <w:p w:rsidR="00824E5D" w:rsidRDefault="009F1C4D">
      <w:pPr>
        <w:pStyle w:val="Szvegtrzs"/>
        <w:spacing w:before="2"/>
        <w:ind w:right="535"/>
      </w:pPr>
      <w:r>
        <w:rPr>
          <w:lang w:val="hu"/>
        </w:rPr>
        <w:t>A terméket hígítatlanul vagy max. 3% víz, az alkalmazás időpontjában érvényes környezeti hőmérséklettől függően.</w:t>
      </w:r>
    </w:p>
    <w:p w:rsidR="00824E5D" w:rsidRDefault="009F1C4D">
      <w:pPr>
        <w:pStyle w:val="Szvegtrzs"/>
        <w:spacing w:line="291" w:lineRule="exact"/>
      </w:pPr>
      <w:r>
        <w:rPr>
          <w:lang w:val="hu"/>
        </w:rPr>
        <w:t>Használat előtt a tartály tartalma nagyon jól összekeveredik.</w:t>
      </w:r>
    </w:p>
    <w:p w:rsidR="00824E5D" w:rsidRDefault="009F1C4D">
      <w:pPr>
        <w:ind w:left="276" w:right="535"/>
        <w:rPr>
          <w:i/>
          <w:sz w:val="24"/>
        </w:rPr>
      </w:pPr>
      <w:r>
        <w:rPr>
          <w:b/>
          <w:bCs/>
          <w:i/>
          <w:iCs/>
          <w:color w:val="FF0000"/>
          <w:sz w:val="24"/>
          <w:u w:val="single"/>
          <w:lang w:val="hu"/>
        </w:rPr>
        <w:t>Fontos</w:t>
      </w:r>
      <w:r>
        <w:rPr>
          <w:i/>
          <w:iCs/>
          <w:color w:val="FF0000"/>
          <w:sz w:val="24"/>
          <w:lang w:val="hu"/>
        </w:rPr>
        <w:t xml:space="preserve">: az árnyalatbeli különbségek elkerülése </w:t>
      </w:r>
      <w:r>
        <w:rPr>
          <w:i/>
          <w:iCs/>
          <w:sz w:val="24"/>
          <w:lang w:val="hu"/>
        </w:rPr>
        <w:t>érdekében ajánlott a teljes felületet egyetlen tételnyi termékkel felvinni. Ha több készlet áll rendelkezésre, alkalmazás előtt ajánlott összekeverni őket.</w:t>
      </w:r>
    </w:p>
    <w:p w:rsidR="00824E5D" w:rsidRDefault="009F1C4D">
      <w:pPr>
        <w:spacing w:before="1"/>
        <w:ind w:left="276" w:right="535"/>
        <w:rPr>
          <w:i/>
          <w:sz w:val="24"/>
        </w:rPr>
      </w:pPr>
      <w:r>
        <w:rPr>
          <w:i/>
          <w:iCs/>
          <w:sz w:val="24"/>
          <w:lang w:val="hu"/>
        </w:rPr>
        <w:t>A munka megkezdése előtt javasoljuk, hogy a valódi alapon kis területre vigye fel, és szárítás után értékelje a színt.</w:t>
      </w:r>
    </w:p>
    <w:p w:rsidR="00824E5D" w:rsidRDefault="009F1C4D">
      <w:pPr>
        <w:ind w:left="276" w:right="705"/>
        <w:jc w:val="both"/>
        <w:rPr>
          <w:i/>
          <w:sz w:val="24"/>
        </w:rPr>
      </w:pPr>
      <w:r>
        <w:rPr>
          <w:i/>
          <w:iCs/>
          <w:sz w:val="24"/>
          <w:lang w:val="hu"/>
        </w:rPr>
        <w:t>A színeltérések (foltok) a támasz egyenetlen abszorpciója, a laposságkülönbség, a termék egyenetlen alkalmazása és modellezése, valamint az időjárásnak és a napfény hatásának való eltérő mértékű kitettség miatt fordulhatnak elő.</w:t>
      </w:r>
    </w:p>
    <w:p w:rsidR="00824E5D" w:rsidRDefault="00824E5D">
      <w:pPr>
        <w:pStyle w:val="Szvegtrzs"/>
        <w:spacing w:before="10"/>
        <w:ind w:left="0"/>
        <w:rPr>
          <w:i/>
          <w:sz w:val="23"/>
        </w:rPr>
      </w:pPr>
    </w:p>
    <w:p w:rsidR="00824E5D" w:rsidRDefault="009F1C4D">
      <w:pPr>
        <w:spacing w:before="1"/>
        <w:ind w:left="276"/>
        <w:rPr>
          <w:b/>
          <w:sz w:val="24"/>
        </w:rPr>
      </w:pPr>
      <w:r>
        <w:rPr>
          <w:b/>
          <w:bCs/>
          <w:sz w:val="24"/>
          <w:lang w:val="hu"/>
        </w:rPr>
        <w:t>Felület előkészítése</w:t>
      </w:r>
    </w:p>
    <w:p w:rsidR="00824E5D" w:rsidRDefault="009F1C4D">
      <w:pPr>
        <w:pStyle w:val="Szvegtrzs"/>
        <w:spacing w:before="2"/>
        <w:ind w:right="535"/>
      </w:pPr>
      <w:r>
        <w:rPr>
          <w:lang w:val="hu"/>
        </w:rPr>
        <w:t>A termék felvitele az alapra csak a megfelelő előkészítés után történik, mivel ez a szakasz döntő hatással van a bevonat minőségére és tartósságára. Az alapok, amelyekre a dekoratív vakolatot felviszik, ellenállónak, tisztának, pormentesnek, száraznak, áteresztőnek és zsírtalanítottnak kell lenniük.</w:t>
      </w:r>
    </w:p>
    <w:p w:rsidR="00824E5D" w:rsidRDefault="009F1C4D">
      <w:pPr>
        <w:pStyle w:val="Szvegtrzs"/>
        <w:spacing w:before="1"/>
        <w:ind w:right="535"/>
      </w:pPr>
      <w:r>
        <w:rPr>
          <w:lang w:val="hu"/>
        </w:rPr>
        <w:t>A dekoratív vakolat felhelyezése előtt minden javítási munkát az ajánlások szerinti szárítási és érlelési idő betartásával kell elvégezni. Ellenkező esetben a végső felület tulajdonságai veszélybe kerülhetnek, és így a rendszer tartóssága csökken. A termikus változásoknak (fagyás-olvadás) idővel kitett javítatlan repedés lehet a kiindulópont a bevonat leválasztásához az alapról.</w:t>
      </w:r>
    </w:p>
    <w:p w:rsidR="00824E5D" w:rsidRDefault="00824E5D">
      <w:pPr>
        <w:pStyle w:val="Szvegtrzs"/>
        <w:spacing w:before="10"/>
        <w:ind w:left="0"/>
        <w:rPr>
          <w:sz w:val="23"/>
        </w:rPr>
      </w:pPr>
    </w:p>
    <w:p w:rsidR="00824E5D" w:rsidRDefault="009F1C4D">
      <w:pPr>
        <w:spacing w:before="1" w:line="293" w:lineRule="exact"/>
        <w:ind w:left="276"/>
        <w:rPr>
          <w:b/>
          <w:sz w:val="24"/>
        </w:rPr>
      </w:pPr>
      <w:r>
        <w:rPr>
          <w:sz w:val="24"/>
          <w:lang w:val="hu"/>
        </w:rPr>
        <w:t xml:space="preserve">Új </w:t>
      </w:r>
      <w:r>
        <w:rPr>
          <w:b/>
          <w:bCs/>
          <w:sz w:val="24"/>
          <w:u w:val="single"/>
          <w:lang w:val="hu"/>
        </w:rPr>
        <w:t>felületek</w:t>
      </w:r>
    </w:p>
    <w:p w:rsidR="00824E5D" w:rsidRDefault="009F1C4D">
      <w:pPr>
        <w:ind w:left="276"/>
        <w:rPr>
          <w:sz w:val="24"/>
        </w:rPr>
      </w:pPr>
      <w:r>
        <w:rPr>
          <w:b/>
          <w:bCs/>
          <w:i/>
          <w:iCs/>
          <w:sz w:val="24"/>
          <w:lang w:val="hu"/>
        </w:rPr>
        <w:t xml:space="preserve">Az ásványi vakolatok </w:t>
      </w:r>
      <w:r>
        <w:rPr>
          <w:b/>
          <w:bCs/>
          <w:sz w:val="24"/>
          <w:lang w:val="hu"/>
        </w:rPr>
        <w:t xml:space="preserve">(mész- és cementvakolatok) </w:t>
      </w:r>
      <w:r>
        <w:rPr>
          <w:sz w:val="24"/>
          <w:lang w:val="hu"/>
        </w:rPr>
        <w:t>érlelését 28 napig hagyjuk</w:t>
      </w:r>
    </w:p>
    <w:p w:rsidR="00824E5D" w:rsidRDefault="009F1C4D">
      <w:pPr>
        <w:pStyle w:val="Szvegtrzs"/>
        <w:spacing w:before="2" w:line="292" w:lineRule="exact"/>
      </w:pPr>
      <w:r>
        <w:rPr>
          <w:lang w:val="hu"/>
        </w:rPr>
        <w:t>a megkeményedett cementmaradványok üzembe helyezése és mechanikus eltávolítása.</w:t>
      </w:r>
    </w:p>
    <w:p w:rsidR="00824E5D" w:rsidRDefault="009F1C4D">
      <w:pPr>
        <w:pStyle w:val="Szvegtrzs"/>
        <w:spacing w:line="292" w:lineRule="exact"/>
      </w:pPr>
      <w:r>
        <w:rPr>
          <w:lang w:val="hu"/>
        </w:rPr>
        <w:t>Alapozás Sticky TIEFGRUND vagy Sticky Fali Al</w:t>
      </w:r>
      <w:r w:rsidR="00FE66B3">
        <w:rPr>
          <w:lang w:val="hu"/>
        </w:rPr>
        <w:t>a</w:t>
      </w:r>
      <w:r>
        <w:rPr>
          <w:lang w:val="hu"/>
        </w:rPr>
        <w:t>pozóval (24 órás szárítás).</w:t>
      </w:r>
    </w:p>
    <w:p w:rsidR="00824E5D" w:rsidRDefault="009F1C4D">
      <w:pPr>
        <w:pStyle w:val="Szvegtrzs"/>
        <w:spacing w:line="292" w:lineRule="exact"/>
      </w:pPr>
      <w:r>
        <w:rPr>
          <w:lang w:val="hu"/>
        </w:rPr>
        <w:t>Vigye fel a vakolatokhoz használható Sticky Grund Alapozót, a vakolat színében</w:t>
      </w:r>
    </w:p>
    <w:p w:rsidR="00824E5D" w:rsidRDefault="009F1C4D">
      <w:pPr>
        <w:pStyle w:val="Szvegtrzs"/>
        <w:spacing w:line="292" w:lineRule="exact"/>
      </w:pPr>
      <w:r>
        <w:rPr>
          <w:lang w:val="hu"/>
        </w:rPr>
        <w:t>hagyja száradni legalább 4 órán keresztül.</w:t>
      </w:r>
    </w:p>
    <w:p w:rsidR="00824E5D" w:rsidRDefault="00824E5D">
      <w:pPr>
        <w:spacing w:line="292" w:lineRule="exact"/>
        <w:sectPr w:rsidR="00824E5D">
          <w:pgSz w:w="11910" w:h="16840"/>
          <w:pgMar w:top="1600" w:right="320" w:bottom="440" w:left="1140" w:header="266" w:footer="251" w:gutter="0"/>
          <w:cols w:space="708"/>
        </w:sectPr>
      </w:pPr>
    </w:p>
    <w:p w:rsidR="00824E5D" w:rsidRDefault="009F1C4D">
      <w:pPr>
        <w:pStyle w:val="Szvegtrzs"/>
        <w:spacing w:before="47" w:line="242" w:lineRule="auto"/>
        <w:ind w:right="631"/>
      </w:pPr>
      <w:r>
        <w:rPr>
          <w:b/>
          <w:bCs/>
          <w:i/>
          <w:iCs/>
          <w:lang w:val="hu"/>
        </w:rPr>
        <w:t>Termoszisztémák</w:t>
      </w:r>
      <w:r>
        <w:rPr>
          <w:b/>
          <w:bCs/>
          <w:lang w:val="hu"/>
        </w:rPr>
        <w:t xml:space="preserve">: </w:t>
      </w:r>
      <w:r>
        <w:rPr>
          <w:lang w:val="hu"/>
        </w:rPr>
        <w:t>a termoszisztéma utolsó ragasztórétege legalább 7 nappal az alkalmazás után szárad meg; Sticky TIEFGRUND vagy Sticky fali alapozóval kell alapozni (szárítás idő 24 óra).</w:t>
      </w:r>
    </w:p>
    <w:p w:rsidR="00824E5D" w:rsidRDefault="009F1C4D">
      <w:pPr>
        <w:pStyle w:val="Szvegtrzs"/>
        <w:spacing w:line="289" w:lineRule="exact"/>
      </w:pPr>
      <w:r>
        <w:rPr>
          <w:lang w:val="hu"/>
        </w:rPr>
        <w:t>Vigye fel a vakolatokhoz használható Sticky Grund Alapozót, a vakolat színében</w:t>
      </w:r>
    </w:p>
    <w:p w:rsidR="00824E5D" w:rsidRDefault="009F1C4D">
      <w:pPr>
        <w:pStyle w:val="Szvegtrzs"/>
        <w:spacing w:line="293" w:lineRule="exact"/>
      </w:pPr>
      <w:r>
        <w:rPr>
          <w:lang w:val="hu"/>
        </w:rPr>
        <w:t>hagyja száradni legalább 4 órán keresztül.</w:t>
      </w:r>
    </w:p>
    <w:p w:rsidR="00824E5D" w:rsidRDefault="00824E5D">
      <w:pPr>
        <w:pStyle w:val="Szvegtrzs"/>
        <w:spacing w:before="2"/>
        <w:ind w:left="0"/>
      </w:pPr>
    </w:p>
    <w:p w:rsidR="00824E5D" w:rsidRDefault="009F1C4D">
      <w:pPr>
        <w:spacing w:before="1" w:line="292" w:lineRule="exact"/>
        <w:ind w:left="276"/>
        <w:rPr>
          <w:i/>
          <w:sz w:val="24"/>
        </w:rPr>
      </w:pPr>
      <w:r>
        <w:rPr>
          <w:sz w:val="24"/>
          <w:lang w:val="hu"/>
        </w:rPr>
        <w:t xml:space="preserve">Régi és/vagy előre festett </w:t>
      </w:r>
      <w:r>
        <w:rPr>
          <w:b/>
          <w:bCs/>
          <w:sz w:val="24"/>
          <w:u w:val="single"/>
          <w:lang w:val="hu"/>
        </w:rPr>
        <w:t>felületek</w:t>
      </w:r>
      <w:r>
        <w:rPr>
          <w:i/>
          <w:iCs/>
          <w:sz w:val="24"/>
          <w:lang w:val="hu"/>
        </w:rPr>
        <w:t>:</w:t>
      </w:r>
    </w:p>
    <w:p w:rsidR="00824E5D" w:rsidRDefault="009F1C4D">
      <w:pPr>
        <w:pStyle w:val="Szvegtrzs"/>
        <w:ind w:right="535"/>
      </w:pPr>
      <w:r>
        <w:rPr>
          <w:lang w:val="hu"/>
        </w:rPr>
        <w:t>Tisztítsa meg a régi festéket vagy vakolatot hibákkal (hámlás, repedések), és javítsa ki újrafestéssel. Szárítsa 7 napig, csiszolja meg és alapozza meg Sticky TIEFGRUND-al vagy Sticky Amorsa Perete fali alapozóval (24 órás száradási idő).</w:t>
      </w:r>
    </w:p>
    <w:p w:rsidR="00824E5D" w:rsidRDefault="009F1C4D">
      <w:pPr>
        <w:pStyle w:val="Szvegtrzs"/>
        <w:spacing w:line="292" w:lineRule="exact"/>
      </w:pPr>
      <w:r>
        <w:rPr>
          <w:lang w:val="hu"/>
        </w:rPr>
        <w:t>A fényes felületű felületeket csiszolni kell. Ragadós réteg felvitele</w:t>
      </w:r>
    </w:p>
    <w:p w:rsidR="00824E5D" w:rsidRDefault="009F1C4D">
      <w:pPr>
        <w:pStyle w:val="Szvegtrzs"/>
      </w:pPr>
      <w:r>
        <w:rPr>
          <w:lang w:val="hu"/>
        </w:rPr>
        <w:t>TIEFGRUND vagy egy réteg Sticky Amorsa Perete fali alapozó, majd egy réteg vakolathoz használható Sticky Amorsa pentru Tencuieli alapozó, a vakolat színárnyalatával.</w:t>
      </w:r>
    </w:p>
    <w:p w:rsidR="00824E5D" w:rsidRDefault="00824E5D">
      <w:pPr>
        <w:pStyle w:val="Szvegtrzs"/>
        <w:spacing w:before="1"/>
        <w:ind w:left="0"/>
      </w:pPr>
    </w:p>
    <w:p w:rsidR="00824E5D" w:rsidRDefault="009F1C4D">
      <w:pPr>
        <w:ind w:left="276" w:right="514"/>
        <w:jc w:val="both"/>
        <w:rPr>
          <w:sz w:val="24"/>
        </w:rPr>
      </w:pPr>
      <w:r>
        <w:rPr>
          <w:b/>
          <w:bCs/>
          <w:i/>
          <w:iCs/>
          <w:sz w:val="24"/>
          <w:u w:val="single"/>
          <w:lang w:val="hu"/>
        </w:rPr>
        <w:t>A penészes felületeket</w:t>
      </w:r>
      <w:r>
        <w:rPr>
          <w:b/>
          <w:bCs/>
          <w:i/>
          <w:iCs/>
          <w:sz w:val="24"/>
          <w:lang w:val="hu"/>
        </w:rPr>
        <w:t xml:space="preserve"> </w:t>
      </w:r>
      <w:r>
        <w:rPr>
          <w:b/>
          <w:bCs/>
          <w:sz w:val="24"/>
          <w:lang w:val="hu"/>
        </w:rPr>
        <w:t xml:space="preserve">Sticky penészgátló oldattal </w:t>
      </w:r>
      <w:r>
        <w:rPr>
          <w:sz w:val="24"/>
          <w:lang w:val="hu"/>
        </w:rPr>
        <w:t xml:space="preserve">vagy </w:t>
      </w:r>
      <w:r>
        <w:rPr>
          <w:b/>
          <w:bCs/>
          <w:sz w:val="24"/>
          <w:lang w:val="hu"/>
        </w:rPr>
        <w:t xml:space="preserve">Sticky Forte penészálló oldattal mossuk textil, </w:t>
      </w:r>
      <w:r>
        <w:rPr>
          <w:sz w:val="24"/>
          <w:lang w:val="hu"/>
        </w:rPr>
        <w:t>kefe vagy ecset segítségével, majd 1-2 réteg azonos oldattal impregnáljuk.</w:t>
      </w:r>
    </w:p>
    <w:p w:rsidR="00824E5D" w:rsidRDefault="009F1C4D">
      <w:pPr>
        <w:spacing w:line="242" w:lineRule="auto"/>
        <w:ind w:left="276" w:right="517"/>
        <w:jc w:val="both"/>
        <w:rPr>
          <w:i/>
          <w:sz w:val="24"/>
        </w:rPr>
      </w:pPr>
      <w:r>
        <w:rPr>
          <w:i/>
          <w:iCs/>
          <w:sz w:val="24"/>
          <w:u w:val="single"/>
          <w:lang w:val="hu"/>
        </w:rPr>
        <w:t>VIGYÁZAT</w:t>
      </w:r>
      <w:r>
        <w:rPr>
          <w:b/>
          <w:bCs/>
          <w:i/>
          <w:iCs/>
          <w:sz w:val="24"/>
          <w:lang w:val="hu"/>
        </w:rPr>
        <w:t xml:space="preserve">: </w:t>
      </w:r>
      <w:r>
        <w:rPr>
          <w:i/>
          <w:iCs/>
          <w:sz w:val="24"/>
          <w:lang w:val="hu"/>
        </w:rPr>
        <w:t>az érintett felületet nem szabad száraz dörzsöléssel, vízzel vagy új festéssel megtisztítani, hogy elkerüljük a penészspórák szétszóródását a szomszédos felületeken.</w:t>
      </w:r>
    </w:p>
    <w:p w:rsidR="00824E5D" w:rsidRDefault="009F1C4D">
      <w:pPr>
        <w:pStyle w:val="Szvegtrzs"/>
        <w:ind w:right="518"/>
        <w:jc w:val="both"/>
      </w:pPr>
      <w:r>
        <w:rPr>
          <w:lang w:val="hu"/>
        </w:rPr>
        <w:t>Alkalmazási időköz a rétegek között - kb. 2 óra. Ha a felületet festeni kell, a terméket min. 24 órával előtte.</w:t>
      </w:r>
    </w:p>
    <w:p w:rsidR="00824E5D" w:rsidRDefault="009F1C4D">
      <w:pPr>
        <w:pStyle w:val="Szvegtrzs"/>
        <w:spacing w:line="291" w:lineRule="exact"/>
        <w:jc w:val="both"/>
      </w:pPr>
      <w:r>
        <w:rPr>
          <w:lang w:val="hu"/>
        </w:rPr>
        <w:t>Alapozás Sticky TIEFGRUND vagy Sticky Fali Al</w:t>
      </w:r>
      <w:r w:rsidR="00FE66B3">
        <w:rPr>
          <w:lang w:val="hu"/>
        </w:rPr>
        <w:t>a</w:t>
      </w:r>
      <w:r>
        <w:rPr>
          <w:lang w:val="hu"/>
        </w:rPr>
        <w:t>pozóval (24 órás szárítás).</w:t>
      </w:r>
    </w:p>
    <w:p w:rsidR="00824E5D" w:rsidRDefault="009F1C4D">
      <w:pPr>
        <w:pStyle w:val="Szvegtrzs"/>
        <w:jc w:val="both"/>
      </w:pPr>
      <w:r>
        <w:rPr>
          <w:lang w:val="hu"/>
        </w:rPr>
        <w:t>Vigye fel a vakolatokhoz használható Sticky Grund Alapozót, a vakolat színében</w:t>
      </w:r>
    </w:p>
    <w:p w:rsidR="00824E5D" w:rsidRDefault="009F1C4D">
      <w:pPr>
        <w:pStyle w:val="Szvegtrzs"/>
        <w:spacing w:line="292" w:lineRule="exact"/>
        <w:jc w:val="both"/>
      </w:pPr>
      <w:r>
        <w:rPr>
          <w:lang w:val="hu"/>
        </w:rPr>
        <w:t>hagyja száradni legalább 4 órán keresztül.</w:t>
      </w:r>
    </w:p>
    <w:p w:rsidR="00824E5D" w:rsidRDefault="009F1C4D">
      <w:pPr>
        <w:ind w:left="276" w:right="597"/>
        <w:jc w:val="both"/>
        <w:rPr>
          <w:i/>
          <w:sz w:val="24"/>
        </w:rPr>
      </w:pPr>
      <w:r>
        <w:rPr>
          <w:i/>
          <w:iCs/>
          <w:sz w:val="24"/>
          <w:lang w:val="hu"/>
        </w:rPr>
        <w:t>A friss és javított vakolt területeket az ajánlások szerint kell szárítani, szárítás után a nagyobb mértékű felszívódás miatt további alapozást kell biztosítani.</w:t>
      </w:r>
    </w:p>
    <w:p w:rsidR="00824E5D" w:rsidRDefault="009F1C4D">
      <w:pPr>
        <w:pStyle w:val="Szvegtrzs"/>
        <w:ind w:right="535"/>
      </w:pPr>
      <w:r>
        <w:rPr>
          <w:i/>
          <w:iCs/>
          <w:lang w:val="hu"/>
        </w:rPr>
        <w:t>Megjegyzés</w:t>
      </w:r>
      <w:r>
        <w:rPr>
          <w:lang w:val="hu"/>
        </w:rPr>
        <w:t>: A Sticky TIEFGRUND felhordható hígítás nélkül vagy vízzel hígítva max. 1:4-ig, az alréteg abszorpciós karakterétől függően, az alapszabály az, hogy száradás után ne képződjön filmréteg (fényes réteg). A próbákat kis területeken kell elvégezni. Alapozás után a felületnek karcállónak kell lennie, és ha ezt a funkciót nem sikerült elérni, egy másik réteget kell felhordani.</w:t>
      </w:r>
    </w:p>
    <w:p w:rsidR="00824E5D" w:rsidRDefault="009F1C4D">
      <w:pPr>
        <w:pStyle w:val="Szvegtrzs"/>
      </w:pPr>
      <w:r>
        <w:rPr>
          <w:lang w:val="hu"/>
        </w:rPr>
        <w:t>Ez a termék segít megállítani a kivirágzás jelenségét.</w:t>
      </w:r>
    </w:p>
    <w:p w:rsidR="00824E5D" w:rsidRDefault="009F1C4D">
      <w:pPr>
        <w:pStyle w:val="Szvegtrzs"/>
        <w:spacing w:line="292" w:lineRule="exact"/>
      </w:pPr>
      <w:r>
        <w:rPr>
          <w:lang w:val="hu"/>
        </w:rPr>
        <w:t>A ragadós fal alapozó felhordható hígítatlanul vagy vízzel hígítva max. 1:5-ig, attól függően, hogy</w:t>
      </w:r>
    </w:p>
    <w:p w:rsidR="00824E5D" w:rsidRDefault="009F1C4D">
      <w:pPr>
        <w:pStyle w:val="Szvegtrzs"/>
        <w:ind w:right="607"/>
        <w:jc w:val="both"/>
      </w:pPr>
      <w:r>
        <w:rPr>
          <w:lang w:val="hu"/>
        </w:rPr>
        <w:t>a szubsztrátum abszorpciós karaktere, az alapszabály az, hogy szárítás után ne képződjön a film (fényes réteg). A próbákat kis területeken kell elvégezni. Alapozás után a felületnek karcállónak kell lennie, és ha ezt a funkciót nem sikerült elérni, egy másik réteget kell alkalmazni.</w:t>
      </w:r>
    </w:p>
    <w:p w:rsidR="00824E5D" w:rsidRDefault="00824E5D">
      <w:pPr>
        <w:pStyle w:val="Szvegtrzs"/>
        <w:spacing w:before="9"/>
        <w:ind w:left="0"/>
        <w:rPr>
          <w:sz w:val="23"/>
        </w:rPr>
      </w:pPr>
    </w:p>
    <w:p w:rsidR="00824E5D" w:rsidRDefault="009F1C4D">
      <w:pPr>
        <w:spacing w:line="293" w:lineRule="exact"/>
        <w:ind w:left="276"/>
        <w:rPr>
          <w:b/>
          <w:sz w:val="24"/>
        </w:rPr>
      </w:pPr>
      <w:r>
        <w:rPr>
          <w:b/>
          <w:bCs/>
          <w:sz w:val="24"/>
          <w:lang w:val="hu"/>
        </w:rPr>
        <w:t>A felvitel módja</w:t>
      </w:r>
    </w:p>
    <w:p w:rsidR="00824E5D" w:rsidRDefault="009F1C4D">
      <w:pPr>
        <w:spacing w:line="292" w:lineRule="exact"/>
        <w:ind w:left="276"/>
        <w:rPr>
          <w:b/>
          <w:sz w:val="24"/>
        </w:rPr>
      </w:pPr>
      <w:r>
        <w:rPr>
          <w:b/>
          <w:bCs/>
          <w:sz w:val="24"/>
          <w:lang w:val="hu"/>
        </w:rPr>
        <w:t>Egyetlen rétegben alkalmazzák, megszakítás nélkül a teljes felületen, hogy filmet kapjanak</w:t>
      </w:r>
    </w:p>
    <w:p w:rsidR="00824E5D" w:rsidRDefault="009F1C4D">
      <w:pPr>
        <w:spacing w:line="292" w:lineRule="exact"/>
        <w:ind w:left="276"/>
        <w:rPr>
          <w:b/>
          <w:sz w:val="24"/>
        </w:rPr>
      </w:pPr>
      <w:r>
        <w:rPr>
          <w:b/>
          <w:bCs/>
          <w:sz w:val="24"/>
          <w:lang w:val="hu"/>
        </w:rPr>
        <w:t>egyenruhák.</w:t>
      </w:r>
    </w:p>
    <w:p w:rsidR="00824E5D" w:rsidRDefault="009F1C4D">
      <w:pPr>
        <w:pStyle w:val="Szvegtrzs"/>
        <w:spacing w:before="4"/>
        <w:ind w:right="825"/>
      </w:pPr>
      <w:r>
        <w:rPr>
          <w:lang w:val="hu"/>
        </w:rPr>
        <w:t xml:space="preserve">Az alkalmazás folyamata a következő szakaszokat tartalmazza: nyújtás, szintezés és modellezés. </w:t>
      </w:r>
      <w:r>
        <w:rPr>
          <w:u w:val="single"/>
          <w:lang w:val="hu"/>
        </w:rPr>
        <w:t>Díszítővakolat nyújtása</w:t>
      </w:r>
    </w:p>
    <w:p w:rsidR="00824E5D" w:rsidRDefault="009F1C4D">
      <w:pPr>
        <w:pStyle w:val="Szvegtrzs"/>
        <w:ind w:right="631"/>
      </w:pPr>
      <w:r>
        <w:rPr>
          <w:lang w:val="hu"/>
        </w:rPr>
        <w:t xml:space="preserve">A kövek méretével megegyező rétegvastagságú rozsdamentes acél simítóval kell felvinni. </w:t>
      </w:r>
      <w:r>
        <w:rPr>
          <w:u w:val="single"/>
          <w:lang w:val="hu"/>
        </w:rPr>
        <w:t>Díszítővakolat szintezése</w:t>
      </w:r>
    </w:p>
    <w:p w:rsidR="00824E5D" w:rsidRDefault="009F1C4D">
      <w:pPr>
        <w:pStyle w:val="Szvegtrzs"/>
      </w:pPr>
      <w:r>
        <w:rPr>
          <w:lang w:val="hu"/>
        </w:rPr>
        <w:t xml:space="preserve">Miután a díszítő vakolatot egy felületre terítették, ugyanazzal a rozsdamentes acél simítóval (mosás vagy víz hozzáadása nélkül), a felesleges anyagot összegyűjtik, és a réteget kiegyenlítik a modellezéshez. </w:t>
      </w:r>
      <w:r>
        <w:rPr>
          <w:u w:val="single"/>
          <w:lang w:val="hu"/>
        </w:rPr>
        <w:t>Modellezés (strukturálás)</w:t>
      </w:r>
    </w:p>
    <w:p w:rsidR="00824E5D" w:rsidRDefault="009F1C4D">
      <w:pPr>
        <w:ind w:left="276" w:right="535"/>
        <w:rPr>
          <w:sz w:val="24"/>
        </w:rPr>
      </w:pPr>
      <w:r>
        <w:rPr>
          <w:sz w:val="24"/>
          <w:lang w:val="hu"/>
        </w:rPr>
        <w:t>Amikor a vakolat már nem tapad a vakolathoz, a modellezési (strukturálási) szakasz következik. F</w:t>
      </w:r>
      <w:r w:rsidR="00FE66B3">
        <w:rPr>
          <w:sz w:val="24"/>
          <w:lang w:val="hu"/>
        </w:rPr>
        <w:t>üggőlegesen tartott műanyag simí</w:t>
      </w:r>
      <w:bookmarkStart w:id="0" w:name="_GoBack"/>
      <w:bookmarkEnd w:id="0"/>
      <w:r>
        <w:rPr>
          <w:sz w:val="24"/>
          <w:lang w:val="hu"/>
        </w:rPr>
        <w:t xml:space="preserve">tóval felépíthető a kívánt modell: </w:t>
      </w:r>
      <w:r>
        <w:rPr>
          <w:b/>
          <w:bCs/>
          <w:sz w:val="24"/>
          <w:lang w:val="hu"/>
        </w:rPr>
        <w:t xml:space="preserve">kőr alakú – kerek </w:t>
      </w:r>
      <w:r>
        <w:rPr>
          <w:sz w:val="24"/>
          <w:lang w:val="hu"/>
        </w:rPr>
        <w:t xml:space="preserve"> </w:t>
      </w:r>
      <w:r>
        <w:rPr>
          <w:b/>
          <w:bCs/>
          <w:i/>
          <w:iCs/>
          <w:sz w:val="24"/>
          <w:lang w:val="hu"/>
        </w:rPr>
        <w:t xml:space="preserve">hornyok </w:t>
      </w:r>
      <w:r>
        <w:rPr>
          <w:sz w:val="24"/>
          <w:lang w:val="hu"/>
        </w:rPr>
        <w:t xml:space="preserve">– körkörös vagy </w:t>
      </w:r>
      <w:r>
        <w:rPr>
          <w:b/>
          <w:bCs/>
          <w:i/>
          <w:iCs/>
          <w:sz w:val="24"/>
          <w:lang w:val="hu"/>
        </w:rPr>
        <w:t xml:space="preserve">egyenes mozgások </w:t>
      </w:r>
      <w:r>
        <w:rPr>
          <w:i/>
          <w:iCs/>
          <w:sz w:val="24"/>
          <w:lang w:val="hu"/>
        </w:rPr>
        <w:t xml:space="preserve">- egyenes hornyok - </w:t>
      </w:r>
      <w:r>
        <w:rPr>
          <w:b/>
          <w:bCs/>
          <w:i/>
          <w:iCs/>
          <w:sz w:val="24"/>
          <w:lang w:val="hu"/>
        </w:rPr>
        <w:t>fakéreg</w:t>
      </w:r>
      <w:r>
        <w:rPr>
          <w:sz w:val="24"/>
          <w:lang w:val="hu"/>
        </w:rPr>
        <w:t>.</w:t>
      </w:r>
    </w:p>
    <w:p w:rsidR="00824E5D" w:rsidRDefault="00824E5D">
      <w:pPr>
        <w:rPr>
          <w:sz w:val="24"/>
        </w:rPr>
        <w:sectPr w:rsidR="00824E5D">
          <w:pgSz w:w="11910" w:h="16840"/>
          <w:pgMar w:top="1600" w:right="320" w:bottom="440" w:left="1140" w:header="266" w:footer="251" w:gutter="0"/>
          <w:cols w:space="708"/>
        </w:sectPr>
      </w:pPr>
    </w:p>
    <w:p w:rsidR="00824E5D" w:rsidRDefault="009F1C4D">
      <w:pPr>
        <w:pStyle w:val="Szvegtrzs"/>
        <w:spacing w:before="47" w:line="242" w:lineRule="auto"/>
        <w:ind w:left="368" w:hanging="92"/>
      </w:pPr>
      <w:r>
        <w:rPr>
          <w:lang w:val="hu"/>
        </w:rPr>
        <w:t>A munkaeszközök tisztítása meleg vízzel vagy vízzel és mosószerrel történik közvetlenül használat után.</w:t>
      </w:r>
    </w:p>
    <w:p w:rsidR="00824E5D" w:rsidRDefault="00824E5D">
      <w:pPr>
        <w:pStyle w:val="Szvegtrzs"/>
        <w:spacing w:before="7"/>
        <w:ind w:left="0"/>
        <w:rPr>
          <w:sz w:val="23"/>
        </w:rPr>
      </w:pPr>
    </w:p>
    <w:p w:rsidR="00824E5D" w:rsidRDefault="009F1C4D">
      <w:pPr>
        <w:spacing w:before="1" w:line="292" w:lineRule="exact"/>
        <w:ind w:left="276"/>
        <w:rPr>
          <w:b/>
          <w:i/>
          <w:sz w:val="24"/>
        </w:rPr>
      </w:pPr>
      <w:r>
        <w:rPr>
          <w:b/>
          <w:bCs/>
          <w:i/>
          <w:iCs/>
          <w:sz w:val="24"/>
          <w:lang w:val="hu"/>
        </w:rPr>
        <w:t>Alkalmazási feltételek:</w:t>
      </w:r>
    </w:p>
    <w:p w:rsidR="00824E5D" w:rsidRDefault="009F1C4D">
      <w:pPr>
        <w:pStyle w:val="Listaszerbekezds"/>
        <w:numPr>
          <w:ilvl w:val="0"/>
          <w:numId w:val="2"/>
        </w:numPr>
        <w:tabs>
          <w:tab w:val="left" w:pos="405"/>
        </w:tabs>
        <w:spacing w:line="292" w:lineRule="exact"/>
        <w:ind w:hanging="129"/>
        <w:rPr>
          <w:sz w:val="24"/>
        </w:rPr>
      </w:pPr>
      <w:r>
        <w:rPr>
          <w:sz w:val="24"/>
          <w:lang w:val="hu"/>
        </w:rPr>
        <w:t>középhőmérséklet: 10 - 30 °C;</w:t>
      </w:r>
    </w:p>
    <w:p w:rsidR="00824E5D" w:rsidRDefault="009F1C4D">
      <w:pPr>
        <w:pStyle w:val="Listaszerbekezds"/>
        <w:numPr>
          <w:ilvl w:val="0"/>
          <w:numId w:val="2"/>
        </w:numPr>
        <w:tabs>
          <w:tab w:val="left" w:pos="405"/>
        </w:tabs>
        <w:spacing w:before="3" w:line="292" w:lineRule="exact"/>
        <w:ind w:hanging="129"/>
        <w:rPr>
          <w:sz w:val="24"/>
        </w:rPr>
      </w:pPr>
      <w:r>
        <w:rPr>
          <w:sz w:val="24"/>
          <w:lang w:val="hu"/>
        </w:rPr>
        <w:t>bölcső hőmérséklete: 10 - 30 °C;</w:t>
      </w:r>
    </w:p>
    <w:p w:rsidR="00824E5D" w:rsidRDefault="009F1C4D">
      <w:pPr>
        <w:pStyle w:val="Listaszerbekezds"/>
        <w:numPr>
          <w:ilvl w:val="0"/>
          <w:numId w:val="2"/>
        </w:numPr>
        <w:tabs>
          <w:tab w:val="left" w:pos="405"/>
        </w:tabs>
        <w:spacing w:line="292" w:lineRule="exact"/>
        <w:ind w:hanging="129"/>
        <w:rPr>
          <w:sz w:val="24"/>
        </w:rPr>
      </w:pPr>
      <w:r>
        <w:rPr>
          <w:sz w:val="24"/>
          <w:lang w:val="hu"/>
        </w:rPr>
        <w:t>termék hőmérséklete: 10 - 30 °C;</w:t>
      </w:r>
    </w:p>
    <w:p w:rsidR="00824E5D" w:rsidRDefault="009F1C4D">
      <w:pPr>
        <w:pStyle w:val="Listaszerbekezds"/>
        <w:numPr>
          <w:ilvl w:val="0"/>
          <w:numId w:val="2"/>
        </w:numPr>
        <w:tabs>
          <w:tab w:val="left" w:pos="405"/>
        </w:tabs>
        <w:spacing w:line="292" w:lineRule="exact"/>
        <w:ind w:hanging="129"/>
        <w:rPr>
          <w:sz w:val="24"/>
        </w:rPr>
      </w:pPr>
      <w:r>
        <w:rPr>
          <w:sz w:val="24"/>
          <w:lang w:val="hu"/>
        </w:rPr>
        <w:t>átlagos relatív páratartalom: legfeljebb 80%.</w:t>
      </w:r>
    </w:p>
    <w:p w:rsidR="00824E5D" w:rsidRDefault="00824E5D">
      <w:pPr>
        <w:pStyle w:val="Szvegtrzs"/>
        <w:spacing w:before="2"/>
        <w:ind w:left="0"/>
      </w:pPr>
    </w:p>
    <w:p w:rsidR="00824E5D" w:rsidRDefault="009F1C4D">
      <w:pPr>
        <w:pStyle w:val="Szvegtrzs"/>
        <w:spacing w:line="292" w:lineRule="exact"/>
      </w:pPr>
      <w:r>
        <w:rPr>
          <w:b/>
          <w:bCs/>
          <w:lang w:val="hu"/>
        </w:rPr>
        <w:t xml:space="preserve">Száradás: </w:t>
      </w:r>
      <w:r>
        <w:rPr>
          <w:lang w:val="hu"/>
        </w:rPr>
        <w:t>utolsó 24 óra, mély 72 óra.</w:t>
      </w:r>
    </w:p>
    <w:p w:rsidR="00824E5D" w:rsidRDefault="009F1C4D">
      <w:pPr>
        <w:ind w:left="276" w:right="631"/>
        <w:rPr>
          <w:i/>
          <w:sz w:val="24"/>
        </w:rPr>
      </w:pPr>
      <w:r>
        <w:rPr>
          <w:i/>
          <w:iCs/>
          <w:sz w:val="24"/>
          <w:lang w:val="hu"/>
        </w:rPr>
        <w:t>Az alkalmazási és szárítási körülményeket a teljes száradásig fenn kell tartani. Javasoljuk, hogy ellenőrizze az időjárás-előrejelzést. Ügyeljen az éjszakai fagy veszélyére!</w:t>
      </w:r>
    </w:p>
    <w:p w:rsidR="00824E5D" w:rsidRDefault="009F1C4D">
      <w:pPr>
        <w:pStyle w:val="Szvegtrzs"/>
        <w:spacing w:line="242" w:lineRule="auto"/>
        <w:ind w:right="631"/>
      </w:pPr>
      <w:r>
        <w:rPr>
          <w:lang w:val="hu"/>
        </w:rPr>
        <w:t>A száradási idő a hőmérséklettől és a páratartalomtól (környezet és támogatás) függ. A helyiség rossz szellőzése és a túlzott páratartalom növeli a száradási időt.</w:t>
      </w:r>
    </w:p>
    <w:p w:rsidR="00824E5D" w:rsidRDefault="009F1C4D">
      <w:pPr>
        <w:pStyle w:val="Szvegtrzs"/>
        <w:ind w:right="535"/>
      </w:pPr>
      <w:r>
        <w:rPr>
          <w:lang w:val="hu"/>
        </w:rPr>
        <w:t>A vakolatot a kivitelezést követően (a hőmérséklettől és a páratartalomtól függően) kb. 3-7 napig védeni kell az esőtől állványponyvák segítségével.</w:t>
      </w:r>
    </w:p>
    <w:p w:rsidR="00824E5D" w:rsidRDefault="00824E5D">
      <w:pPr>
        <w:pStyle w:val="Szvegtrzs"/>
        <w:spacing w:before="8"/>
        <w:ind w:left="0"/>
        <w:rPr>
          <w:sz w:val="23"/>
        </w:rPr>
      </w:pPr>
    </w:p>
    <w:p w:rsidR="00824E5D" w:rsidRDefault="009F1C4D">
      <w:pPr>
        <w:spacing w:line="292" w:lineRule="exact"/>
        <w:ind w:left="276"/>
        <w:rPr>
          <w:b/>
          <w:i/>
          <w:sz w:val="24"/>
        </w:rPr>
      </w:pPr>
      <w:r>
        <w:rPr>
          <w:b/>
          <w:bCs/>
          <w:i/>
          <w:iCs/>
          <w:sz w:val="24"/>
          <w:u w:val="single"/>
          <w:lang w:val="hu"/>
        </w:rPr>
        <w:t>Figyelem!</w:t>
      </w:r>
    </w:p>
    <w:p w:rsidR="00824E5D" w:rsidRDefault="009F1C4D">
      <w:pPr>
        <w:ind w:left="276" w:right="535"/>
        <w:rPr>
          <w:b/>
          <w:sz w:val="24"/>
        </w:rPr>
      </w:pPr>
      <w:r>
        <w:rPr>
          <w:b/>
          <w:bCs/>
          <w:sz w:val="24"/>
          <w:lang w:val="hu"/>
        </w:rPr>
        <w:t>Ne alkalmazza lakkfóliákon, oldószerbázisú festékeken és zománcokon, nagyon törékeny felületeken (pl. meglévő sárfesték, mészvakolat, mészvakolat), sós virágzatú felületeken.</w:t>
      </w:r>
    </w:p>
    <w:p w:rsidR="00824E5D" w:rsidRDefault="009F1C4D">
      <w:pPr>
        <w:spacing w:line="291" w:lineRule="exact"/>
        <w:ind w:left="276"/>
        <w:rPr>
          <w:b/>
          <w:sz w:val="24"/>
        </w:rPr>
      </w:pPr>
      <w:r>
        <w:rPr>
          <w:b/>
          <w:bCs/>
          <w:sz w:val="24"/>
          <w:lang w:val="hu"/>
        </w:rPr>
        <w:t>Ne alkalmazza olyan vízszintes felületeken, amelyeken a csapadék merőlegesen esik (ablakpárkányok stb.).</w:t>
      </w:r>
    </w:p>
    <w:p w:rsidR="00824E5D" w:rsidRDefault="009F1C4D">
      <w:pPr>
        <w:spacing w:before="2"/>
        <w:ind w:left="276" w:right="631"/>
        <w:rPr>
          <w:b/>
          <w:sz w:val="24"/>
        </w:rPr>
      </w:pPr>
      <w:r>
        <w:rPr>
          <w:b/>
          <w:bCs/>
          <w:sz w:val="24"/>
          <w:lang w:val="hu"/>
        </w:rPr>
        <w:t>Ne alkalmazza kevesebb, mint 2 órával az eső elállása után (olyan hőmérsékleti körülmények között, amelyek lehetővé teszik a felület megszáradását).</w:t>
      </w:r>
    </w:p>
    <w:p w:rsidR="00824E5D" w:rsidRDefault="009F1C4D">
      <w:pPr>
        <w:ind w:left="276" w:right="535"/>
        <w:rPr>
          <w:b/>
          <w:sz w:val="24"/>
        </w:rPr>
      </w:pPr>
      <w:r>
        <w:rPr>
          <w:b/>
          <w:bCs/>
          <w:sz w:val="24"/>
          <w:lang w:val="hu"/>
        </w:rPr>
        <w:t>Ne dolgozzon az alábbi körülmények között: eső, köd, alacsony hőmérséklet, 80% feletti magas páratartalom, fagyveszély, nagyon magas hőmérséklet esetén ajánlott a terméket a homlokzaton alkalmazni olyan napszakokban, amikor a felület nincs közvetlen napfénynek kitéve.</w:t>
      </w:r>
    </w:p>
    <w:p w:rsidR="00824E5D" w:rsidRDefault="009F1C4D">
      <w:pPr>
        <w:ind w:left="276" w:right="535"/>
        <w:rPr>
          <w:b/>
          <w:sz w:val="24"/>
        </w:rPr>
      </w:pPr>
      <w:r>
        <w:rPr>
          <w:b/>
          <w:bCs/>
          <w:sz w:val="24"/>
          <w:lang w:val="hu"/>
        </w:rPr>
        <w:t>A hólyagok és lerakódások előfordulásának megakadályozása érdekében a vakolatot egy lépésben (megszakítás nélkül) felvisszük a „nedves-nedves” folyamatra, ehhez elegendő számú munkavállalóra van szükség az állványon.</w:t>
      </w:r>
    </w:p>
    <w:p w:rsidR="00824E5D" w:rsidRDefault="009F1C4D">
      <w:pPr>
        <w:ind w:left="276" w:right="535"/>
        <w:rPr>
          <w:b/>
          <w:sz w:val="24"/>
        </w:rPr>
      </w:pPr>
      <w:r>
        <w:rPr>
          <w:b/>
          <w:bCs/>
          <w:sz w:val="24"/>
          <w:lang w:val="hu"/>
        </w:rPr>
        <w:t>A termék későbbi ismételt alkalmazása javítások és csiszolás céljából egy már alkalmazott felületen nem ajánlott, mivel az egyes területek különböznek a felület általános megjelenésében.</w:t>
      </w:r>
    </w:p>
    <w:p w:rsidR="00824E5D" w:rsidRDefault="009F1C4D">
      <w:pPr>
        <w:pStyle w:val="Szvegtrzs"/>
        <w:spacing w:before="1"/>
        <w:ind w:right="535"/>
      </w:pPr>
      <w:r>
        <w:rPr>
          <w:lang w:val="hu"/>
        </w:rPr>
        <w:t>A megfelelően alkalmazott díszítővakolat ellenáll a sok éves fagy-olvadási ciklusnak, lemosható és frissíthető kültéri mosható falfestékkel.</w:t>
      </w:r>
    </w:p>
    <w:p w:rsidR="00824E5D" w:rsidRDefault="00824E5D">
      <w:pPr>
        <w:pStyle w:val="Szvegtrzs"/>
        <w:spacing w:before="10"/>
        <w:ind w:left="0"/>
        <w:rPr>
          <w:sz w:val="23"/>
        </w:rPr>
      </w:pPr>
    </w:p>
    <w:p w:rsidR="00824E5D" w:rsidRDefault="009F1C4D">
      <w:pPr>
        <w:pStyle w:val="Listaszerbekezds"/>
        <w:numPr>
          <w:ilvl w:val="0"/>
          <w:numId w:val="4"/>
        </w:numPr>
        <w:tabs>
          <w:tab w:val="left" w:pos="517"/>
        </w:tabs>
        <w:ind w:hanging="241"/>
        <w:rPr>
          <w:sz w:val="24"/>
        </w:rPr>
      </w:pPr>
      <w:r>
        <w:rPr>
          <w:b/>
          <w:bCs/>
          <w:sz w:val="24"/>
          <w:lang w:val="hu"/>
        </w:rPr>
        <w:t>Fajlagos fogyasztás</w:t>
      </w:r>
      <w:r>
        <w:rPr>
          <w:sz w:val="24"/>
          <w:lang w:val="hu"/>
        </w:rPr>
        <w:t>:</w:t>
      </w:r>
    </w:p>
    <w:p w:rsidR="00824E5D" w:rsidRDefault="009F1C4D">
      <w:pPr>
        <w:pStyle w:val="Listaszerbekezds"/>
        <w:numPr>
          <w:ilvl w:val="0"/>
          <w:numId w:val="1"/>
        </w:numPr>
        <w:tabs>
          <w:tab w:val="left" w:pos="1173"/>
        </w:tabs>
        <w:spacing w:before="5" w:line="280" w:lineRule="exact"/>
        <w:ind w:hanging="177"/>
        <w:rPr>
          <w:sz w:val="23"/>
        </w:rPr>
      </w:pPr>
      <w:r>
        <w:rPr>
          <w:sz w:val="23"/>
          <w:lang w:val="hu"/>
        </w:rPr>
        <w:t>granuláció 1 mm = 1,8-2,2 kg/m2</w:t>
      </w:r>
    </w:p>
    <w:p w:rsidR="00824E5D" w:rsidRDefault="009F1C4D">
      <w:pPr>
        <w:pStyle w:val="Listaszerbekezds"/>
        <w:numPr>
          <w:ilvl w:val="0"/>
          <w:numId w:val="1"/>
        </w:numPr>
        <w:tabs>
          <w:tab w:val="left" w:pos="1173"/>
        </w:tabs>
        <w:spacing w:line="279" w:lineRule="exact"/>
        <w:ind w:hanging="177"/>
        <w:rPr>
          <w:sz w:val="23"/>
        </w:rPr>
      </w:pPr>
      <w:r>
        <w:rPr>
          <w:sz w:val="23"/>
          <w:lang w:val="hu"/>
        </w:rPr>
        <w:t>granuláció 1,5 mm = 1,8-2,2 kg/m2</w:t>
      </w:r>
    </w:p>
    <w:p w:rsidR="00824E5D" w:rsidRDefault="009F1C4D">
      <w:pPr>
        <w:pStyle w:val="Listaszerbekezds"/>
        <w:numPr>
          <w:ilvl w:val="0"/>
          <w:numId w:val="1"/>
        </w:numPr>
        <w:tabs>
          <w:tab w:val="left" w:pos="1181"/>
        </w:tabs>
        <w:spacing w:line="291" w:lineRule="exact"/>
        <w:ind w:left="1180" w:hanging="185"/>
        <w:rPr>
          <w:sz w:val="24"/>
        </w:rPr>
      </w:pPr>
      <w:r>
        <w:rPr>
          <w:sz w:val="24"/>
          <w:lang w:val="hu"/>
        </w:rPr>
        <w:t>granuláció 2 mm = 1,8-2,2 kg/m2</w:t>
      </w:r>
    </w:p>
    <w:p w:rsidR="00824E5D" w:rsidRDefault="009F1C4D">
      <w:pPr>
        <w:pStyle w:val="Szvegtrzs"/>
        <w:spacing w:line="292" w:lineRule="exact"/>
      </w:pPr>
      <w:r>
        <w:rPr>
          <w:lang w:val="hu"/>
        </w:rPr>
        <w:t>A fogyasztás az alkalmazás módjától és feltételeitől, az alaktól, a mérettől, a textúrától és a profiltól függ</w:t>
      </w:r>
    </w:p>
    <w:p w:rsidR="00824E5D" w:rsidRDefault="009F1C4D">
      <w:pPr>
        <w:pStyle w:val="Szvegtrzs"/>
        <w:spacing w:line="242" w:lineRule="auto"/>
      </w:pPr>
      <w:r>
        <w:rPr>
          <w:lang w:val="hu"/>
        </w:rPr>
        <w:t>felületre. A vakolat elkészítése és felvitele során anyagveszteség fordulhat elő, ezért javasoljuk, hogy rendeljen további mennyiséget, különösen, ha a színes terméket szeretné.</w:t>
      </w:r>
    </w:p>
    <w:p w:rsidR="00824E5D" w:rsidRDefault="00824E5D">
      <w:pPr>
        <w:pStyle w:val="Szvegtrzs"/>
        <w:spacing w:before="7"/>
        <w:ind w:left="0"/>
        <w:rPr>
          <w:sz w:val="23"/>
        </w:rPr>
      </w:pPr>
    </w:p>
    <w:p w:rsidR="00824E5D" w:rsidRDefault="009F1C4D">
      <w:pPr>
        <w:pStyle w:val="Listaszerbekezds"/>
        <w:numPr>
          <w:ilvl w:val="0"/>
          <w:numId w:val="4"/>
        </w:numPr>
        <w:tabs>
          <w:tab w:val="left" w:pos="517"/>
        </w:tabs>
        <w:spacing w:line="292" w:lineRule="exact"/>
        <w:ind w:hanging="241"/>
        <w:rPr>
          <w:b/>
          <w:sz w:val="24"/>
        </w:rPr>
      </w:pPr>
      <w:r>
        <w:rPr>
          <w:b/>
          <w:bCs/>
          <w:sz w:val="24"/>
          <w:lang w:val="hu"/>
        </w:rPr>
        <w:t>Csomagolás, tárolás, szállítás</w:t>
      </w:r>
    </w:p>
    <w:p w:rsidR="00824E5D" w:rsidRDefault="009F1C4D">
      <w:pPr>
        <w:pStyle w:val="Szvegtrzs"/>
        <w:ind w:right="535"/>
      </w:pPr>
      <w:r>
        <w:rPr>
          <w:b/>
          <w:bCs/>
          <w:i/>
          <w:iCs/>
          <w:lang w:val="hu"/>
        </w:rPr>
        <w:t xml:space="preserve">Csomagolás </w:t>
      </w:r>
      <w:r>
        <w:rPr>
          <w:i/>
          <w:iCs/>
          <w:lang w:val="hu"/>
        </w:rPr>
        <w:t xml:space="preserve">- </w:t>
      </w:r>
      <w:r>
        <w:rPr>
          <w:lang w:val="hu"/>
        </w:rPr>
        <w:t xml:space="preserve">A termék lezárt műanyag tartályokba van csomagolva: 25 kg. </w:t>
      </w:r>
      <w:r>
        <w:rPr>
          <w:b/>
          <w:bCs/>
          <w:lang w:val="hu"/>
        </w:rPr>
        <w:t xml:space="preserve">Tárolás és szállítás </w:t>
      </w:r>
      <w:r>
        <w:rPr>
          <w:lang w:val="hu"/>
        </w:rPr>
        <w:t>- Az eredeti lezárt csomagolásban, amely nincs kitéve időjárásnak, napsugárzásnak vagy más hőforrásnak és gyulladásnak, 5-30° C közötti hőmérsékleten. Az értékcsökkenés befagyásának veszélye.</w:t>
      </w:r>
    </w:p>
    <w:p w:rsidR="00824E5D" w:rsidRDefault="00824E5D">
      <w:pPr>
        <w:sectPr w:rsidR="00824E5D">
          <w:pgSz w:w="11910" w:h="16840"/>
          <w:pgMar w:top="1600" w:right="320" w:bottom="440" w:left="1140" w:header="266" w:footer="251" w:gutter="0"/>
          <w:cols w:space="708"/>
        </w:sectPr>
      </w:pPr>
    </w:p>
    <w:p w:rsidR="00824E5D" w:rsidRDefault="00824E5D">
      <w:pPr>
        <w:pStyle w:val="Szvegtrzs"/>
        <w:spacing w:before="11"/>
        <w:ind w:left="0"/>
        <w:rPr>
          <w:sz w:val="23"/>
        </w:rPr>
      </w:pPr>
    </w:p>
    <w:p w:rsidR="00824E5D" w:rsidRDefault="009F1C4D">
      <w:pPr>
        <w:pStyle w:val="Listaszerbekezds"/>
        <w:numPr>
          <w:ilvl w:val="0"/>
          <w:numId w:val="4"/>
        </w:numPr>
        <w:tabs>
          <w:tab w:val="left" w:pos="553"/>
        </w:tabs>
        <w:spacing w:before="51"/>
        <w:ind w:left="276" w:right="524" w:firstLine="0"/>
        <w:rPr>
          <w:sz w:val="24"/>
        </w:rPr>
      </w:pPr>
      <w:r>
        <w:rPr>
          <w:b/>
          <w:bCs/>
          <w:sz w:val="24"/>
          <w:lang w:val="hu"/>
        </w:rPr>
        <w:t xml:space="preserve">Felhasználhatósági időtartam: </w:t>
      </w:r>
      <w:r>
        <w:rPr>
          <w:sz w:val="24"/>
          <w:lang w:val="hu"/>
        </w:rPr>
        <w:t>A gyártástól számított 24 hónap, az eredeti légmentesen lezárt csomagolásban, feltéve, hogy a szállítási és tárolási szabályokat betartják.</w:t>
      </w:r>
    </w:p>
    <w:p w:rsidR="00824E5D" w:rsidRDefault="00824E5D">
      <w:pPr>
        <w:pStyle w:val="Szvegtrzs"/>
        <w:spacing w:before="9"/>
        <w:ind w:left="0"/>
        <w:rPr>
          <w:sz w:val="23"/>
        </w:rPr>
      </w:pPr>
    </w:p>
    <w:p w:rsidR="00824E5D" w:rsidRDefault="009F1C4D">
      <w:pPr>
        <w:pStyle w:val="Listaszerbekezds"/>
        <w:numPr>
          <w:ilvl w:val="0"/>
          <w:numId w:val="4"/>
        </w:numPr>
        <w:tabs>
          <w:tab w:val="left" w:pos="573"/>
        </w:tabs>
        <w:spacing w:before="1"/>
        <w:ind w:left="572" w:hanging="297"/>
        <w:rPr>
          <w:b/>
          <w:sz w:val="24"/>
        </w:rPr>
      </w:pPr>
      <w:r>
        <w:rPr>
          <w:b/>
          <w:bCs/>
          <w:sz w:val="24"/>
          <w:lang w:val="hu"/>
        </w:rPr>
        <w:t>Jogszabályok</w:t>
      </w:r>
    </w:p>
    <w:p w:rsidR="00824E5D" w:rsidRDefault="009F1C4D">
      <w:pPr>
        <w:pStyle w:val="Szvegtrzs"/>
        <w:spacing w:before="3"/>
        <w:ind w:right="535"/>
      </w:pPr>
      <w:r>
        <w:rPr>
          <w:b/>
          <w:bCs/>
          <w:lang w:val="hu"/>
        </w:rPr>
        <w:t xml:space="preserve">Hulladék: </w:t>
      </w:r>
      <w:r>
        <w:rPr>
          <w:lang w:val="hu"/>
        </w:rPr>
        <w:t>A termék és a csomagolási maradványok hulladéknak minősülnek, és a hatályos jogszabályoknak megfelelő kezelésre van szükség.</w:t>
      </w:r>
    </w:p>
    <w:p w:rsidR="00824E5D" w:rsidRDefault="009F1C4D">
      <w:pPr>
        <w:pStyle w:val="Szvegtrzs"/>
        <w:spacing w:line="291" w:lineRule="exact"/>
      </w:pPr>
      <w:r>
        <w:rPr>
          <w:lang w:val="hu"/>
        </w:rPr>
        <w:t>Termékbiztonsági adatlap kérésre rendelkezésre áll.</w:t>
      </w:r>
    </w:p>
    <w:p w:rsidR="00824E5D" w:rsidRDefault="009F1C4D">
      <w:pPr>
        <w:spacing w:before="1"/>
        <w:ind w:left="276"/>
        <w:rPr>
          <w:b/>
          <w:sz w:val="20"/>
        </w:rPr>
      </w:pPr>
      <w:r>
        <w:rPr>
          <w:b/>
          <w:bCs/>
          <w:sz w:val="20"/>
          <w:lang w:val="hu"/>
        </w:rPr>
        <w:t>COV EU határérték g/l: Kat. A/c: 40</w:t>
      </w:r>
    </w:p>
    <w:p w:rsidR="00824E5D" w:rsidRDefault="009F1C4D">
      <w:pPr>
        <w:ind w:left="276"/>
        <w:rPr>
          <w:b/>
          <w:sz w:val="20"/>
        </w:rPr>
      </w:pPr>
      <w:r>
        <w:rPr>
          <w:b/>
          <w:bCs/>
          <w:sz w:val="20"/>
          <w:lang w:val="hu"/>
        </w:rPr>
        <w:t>Maximális COV a használatra kész termékben, g/l: 40</w:t>
      </w:r>
    </w:p>
    <w:p w:rsidR="00824E5D" w:rsidRDefault="00824E5D">
      <w:pPr>
        <w:pStyle w:val="Szvegtrzs"/>
        <w:ind w:left="0"/>
        <w:rPr>
          <w:b/>
          <w:sz w:val="20"/>
        </w:rPr>
      </w:pPr>
    </w:p>
    <w:p w:rsidR="00824E5D" w:rsidRDefault="00824E5D">
      <w:pPr>
        <w:pStyle w:val="Szvegtrzs"/>
        <w:spacing w:before="2"/>
        <w:ind w:left="0"/>
        <w:rPr>
          <w:b/>
          <w:sz w:val="28"/>
        </w:rPr>
      </w:pPr>
    </w:p>
    <w:p w:rsidR="00824E5D" w:rsidRDefault="009F1C4D">
      <w:pPr>
        <w:ind w:left="276" w:right="535"/>
        <w:rPr>
          <w:i/>
          <w:sz w:val="20"/>
        </w:rPr>
      </w:pPr>
      <w:r>
        <w:rPr>
          <w:i/>
          <w:iCs/>
          <w:sz w:val="20"/>
          <w:lang w:val="hu"/>
        </w:rPr>
        <w:t>Megjegyzés: Mindezek az adatok általános jellegűek a termék használatának teljesítményére vonatkozóan, ezért ajánlott a terméket saját alkalmazási technológiájának feltételei mellett tesztelni.</w:t>
      </w:r>
    </w:p>
    <w:p w:rsidR="00824E5D" w:rsidRDefault="009F1C4D">
      <w:pPr>
        <w:ind w:left="276" w:right="825"/>
        <w:rPr>
          <w:sz w:val="20"/>
        </w:rPr>
      </w:pPr>
      <w:r>
        <w:rPr>
          <w:i/>
          <w:iCs/>
          <w:sz w:val="20"/>
          <w:lang w:val="hu"/>
        </w:rPr>
        <w:t>A nem képzett személyzettel való munkavégzés, a nem megfelelő felületi előkészítés, a nem megfelelő felvivő eszközök használata vagy az ajánlottól eltérő körülmények közötti alkalmazás nem vonja maga után a gyártó felelősségét. A további pontosítás érdekében javasoljuk, hogy forduljon a gyártóhoz</w:t>
      </w:r>
      <w:r>
        <w:rPr>
          <w:sz w:val="20"/>
          <w:lang w:val="hu"/>
        </w:rPr>
        <w:t>.</w:t>
      </w:r>
    </w:p>
    <w:sectPr w:rsidR="00824E5D">
      <w:pgSz w:w="11910" w:h="16840"/>
      <w:pgMar w:top="1600" w:right="320" w:bottom="440" w:left="1140" w:header="266" w:footer="2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A3E" w:rsidRDefault="009F1C4D">
      <w:r>
        <w:separator/>
      </w:r>
    </w:p>
  </w:endnote>
  <w:endnote w:type="continuationSeparator" w:id="0">
    <w:p w:rsidR="009D4A3E" w:rsidRDefault="009F1C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E5D" w:rsidRDefault="00FE66B3">
    <w:pPr>
      <w:pStyle w:val="Szvegtrzs"/>
      <w:spacing w:line="14" w:lineRule="auto"/>
      <w:ind w:left="0"/>
      <w:rPr>
        <w:sz w:val="20"/>
      </w:rPr>
    </w:pP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6" o:spid="_x0000_s1025" type="#_x0000_t202" style="position:absolute;margin-left:282.7pt;margin-top:818.45pt;width:59.2pt;height:13.1pt;z-index:-15888384;mso-position-horizontal-relative:page;mso-position-vertical-relative:page" filled="f" stroked="f">
          <v:textbox inset="0,0,0,0">
            <w:txbxContent>
              <w:p w:rsidR="00824E5D" w:rsidRDefault="009F1C4D">
                <w:pPr>
                  <w:spacing w:before="11"/>
                  <w:ind w:left="20"/>
                  <w:rPr>
                    <w:rFonts w:ascii="Times New Roman"/>
                    <w:b/>
                    <w:sz w:val="20"/>
                  </w:rPr>
                </w:pPr>
                <w:r>
                  <w:rPr>
                    <w:rFonts w:ascii="Times New Roman" w:hAnsi="Times New Roman"/>
                    <w:sz w:val="20"/>
                    <w:lang w:val="hu"/>
                  </w:rPr>
                  <w:t xml:space="preserve">oldal: </w: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begin"/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instrText xml:space="preserve"> NUMPAGES </w:instrTex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separate"/>
                </w:r>
                <w:r w:rsidR="00FE66B3">
                  <w:rPr>
                    <w:rFonts w:ascii="Times New Roman" w:hAnsi="Times New Roman"/>
                    <w:noProof/>
                    <w:sz w:val="20"/>
                    <w:lang w:val="hu"/>
                  </w:rPr>
                  <w:t>5</w:t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fldChar w:fldCharType="end"/>
                </w:r>
                <w:r>
                  <w:rPr>
                    <w:rFonts w:ascii="Times New Roman" w:hAnsi="Times New Roman"/>
                    <w:sz w:val="20"/>
                    <w:lang w:val="hu"/>
                  </w:rPr>
                  <w:t xml:space="preserve"> </w:t>
                </w:r>
                <w:r>
                  <w:rPr>
                    <w:rFonts w:ascii="Times New Roman" w:hAnsi="Times New Roman"/>
                    <w:b/>
                    <w:bCs/>
                    <w:sz w:val="20"/>
                    <w:lang w:val="hu"/>
                  </w:rPr>
                  <w:t xml:space="preserve">  PAGE 1/5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A3E" w:rsidRDefault="009F1C4D">
      <w:r>
        <w:separator/>
      </w:r>
    </w:p>
  </w:footnote>
  <w:footnote w:type="continuationSeparator" w:id="0">
    <w:p w:rsidR="009D4A3E" w:rsidRDefault="009F1C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4E5D" w:rsidRDefault="00FE66B3">
    <w:pPr>
      <w:pStyle w:val="Szvegtrzs"/>
      <w:spacing w:line="14" w:lineRule="auto"/>
      <w:ind w:left="0"/>
      <w:rPr>
        <w:sz w:val="20"/>
      </w:rPr>
    </w:pPr>
    <w:r>
      <w:rPr>
        <w:lang w:val="hu"/>
      </w:rPr>
      <w:pict>
        <v:group id="docshapegroup1" o:spid="_x0000_s1027" style="position:absolute;margin-left:490.9pt;margin-top:13.3pt;width:89.9pt;height:60.9pt;z-index:-15889920;mso-position-horizontal-relative:page;mso-position-vertical-relative:page" coordorigin="9818,266" coordsize="1798,121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docshape2" o:spid="_x0000_s1030" type="#_x0000_t75" style="position:absolute;left:9818;top:266;width:598;height:849">
            <v:imagedata r:id="rId1" o:title=""/>
          </v:shape>
          <v:shape id="docshape3" o:spid="_x0000_s1029" type="#_x0000_t75" style="position:absolute;left:11018;top:266;width:598;height:849">
            <v:imagedata r:id="rId2" o:title=""/>
          </v:shape>
          <v:shape id="docshape4" o:spid="_x0000_s1028" type="#_x0000_t75" style="position:absolute;left:10418;top:634;width:598;height:849">
            <v:imagedata r:id="rId3" o:title=""/>
          </v:shape>
          <w10:wrap anchorx="page" anchory="page"/>
        </v:group>
      </w:pict>
    </w:r>
    <w:r w:rsidR="009F1C4D">
      <w:rPr>
        <w:noProof/>
        <w:lang w:val="hu-HU" w:eastAsia="zh-CN"/>
      </w:rPr>
      <w:drawing>
        <wp:anchor distT="0" distB="0" distL="0" distR="0" simplePos="0" relativeHeight="487427072" behindDoc="1" locked="0" layoutInCell="1" allowOverlap="1">
          <wp:simplePos x="0" y="0"/>
          <wp:positionH relativeFrom="page">
            <wp:posOffset>219075</wp:posOffset>
          </wp:positionH>
          <wp:positionV relativeFrom="page">
            <wp:posOffset>190500</wp:posOffset>
          </wp:positionV>
          <wp:extent cx="1691639" cy="751840"/>
          <wp:effectExtent l="0" t="0" r="0" b="0"/>
          <wp:wrapNone/>
          <wp:docPr id="1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4.jpe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691639" cy="7518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lang w:val="h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5" o:spid="_x0000_s1026" type="#_x0000_t202" style="position:absolute;margin-left:162.05pt;margin-top:16.85pt;width:268.45pt;height:55.05pt;z-index:-15888896;mso-position-horizontal-relative:page;mso-position-vertical-relative:page" filled="f" stroked="f">
          <v:textbox inset="0,0,0,0">
            <w:txbxContent>
              <w:p w:rsidR="00824E5D" w:rsidRDefault="009F1C4D">
                <w:pPr>
                  <w:spacing w:line="203" w:lineRule="exact"/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Comuna Mihăești, Sat Buleta, Str. Depozitelor nr. 5., jud. Vâlcea,</w:t>
                </w:r>
              </w:p>
              <w:p w:rsidR="00824E5D" w:rsidRDefault="009F1C4D">
                <w:pPr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 xml:space="preserve">Adószám RO4701754, Kereskedelem szám J38/999/1993, Alaptőke 103.560 lej </w:t>
                </w:r>
                <w:hyperlink r:id="rId5">
                  <w:r>
                    <w:rPr>
                      <w:sz w:val="18"/>
                      <w:lang w:val="hu"/>
                    </w:rPr>
                    <w:t xml:space="preserve">www.sarcom.ro, </w:t>
                  </w:r>
                </w:hyperlink>
                <w:r>
                  <w:rPr>
                    <w:sz w:val="18"/>
                    <w:lang w:val="hu"/>
                  </w:rPr>
                  <w:t xml:space="preserve">e-mail: </w:t>
                </w:r>
                <w:hyperlink r:id="rId6">
                  <w:r>
                    <w:rPr>
                      <w:sz w:val="18"/>
                      <w:lang w:val="hu"/>
                    </w:rPr>
                    <w:t>office@sarcom.ro</w:t>
                  </w:r>
                </w:hyperlink>
              </w:p>
              <w:p w:rsidR="00824E5D" w:rsidRDefault="009F1C4D">
                <w:pPr>
                  <w:spacing w:before="1"/>
                  <w:ind w:left="20"/>
                  <w:rPr>
                    <w:sz w:val="18"/>
                  </w:rPr>
                </w:pPr>
                <w:r>
                  <w:rPr>
                    <w:sz w:val="18"/>
                    <w:lang w:val="hu"/>
                  </w:rPr>
                  <w:t>Banca Transilvania fiók Vâlcea Számlaszám RO89BTRLRONCRT0277274301 Tel./Fax: 0250 772 562 / 0250 772 547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869A2"/>
    <w:multiLevelType w:val="hybridMultilevel"/>
    <w:tmpl w:val="7AAA46C8"/>
    <w:lvl w:ilvl="0" w:tplc="F3B61D72">
      <w:numFmt w:val="bullet"/>
      <w:lvlText w:val="-"/>
      <w:lvlJc w:val="left"/>
      <w:pPr>
        <w:ind w:left="1172" w:hanging="176"/>
      </w:pPr>
      <w:rPr>
        <w:rFonts w:ascii="Calibri" w:eastAsia="Calibri" w:hAnsi="Calibri" w:cs="Calibri" w:hint="default"/>
        <w:w w:val="100"/>
        <w:lang w:val="ro-RO" w:eastAsia="en-US" w:bidi="ar-SA"/>
      </w:rPr>
    </w:lvl>
    <w:lvl w:ilvl="1" w:tplc="DE8099F2">
      <w:numFmt w:val="bullet"/>
      <w:lvlText w:val="•"/>
      <w:lvlJc w:val="left"/>
      <w:pPr>
        <w:ind w:left="2106" w:hanging="176"/>
      </w:pPr>
      <w:rPr>
        <w:rFonts w:hint="default"/>
        <w:lang w:val="ro-RO" w:eastAsia="en-US" w:bidi="ar-SA"/>
      </w:rPr>
    </w:lvl>
    <w:lvl w:ilvl="2" w:tplc="60CE5B76">
      <w:numFmt w:val="bullet"/>
      <w:lvlText w:val="•"/>
      <w:lvlJc w:val="left"/>
      <w:pPr>
        <w:ind w:left="3033" w:hanging="176"/>
      </w:pPr>
      <w:rPr>
        <w:rFonts w:hint="default"/>
        <w:lang w:val="ro-RO" w:eastAsia="en-US" w:bidi="ar-SA"/>
      </w:rPr>
    </w:lvl>
    <w:lvl w:ilvl="3" w:tplc="36106162">
      <w:numFmt w:val="bullet"/>
      <w:lvlText w:val="•"/>
      <w:lvlJc w:val="left"/>
      <w:pPr>
        <w:ind w:left="3960" w:hanging="176"/>
      </w:pPr>
      <w:rPr>
        <w:rFonts w:hint="default"/>
        <w:lang w:val="ro-RO" w:eastAsia="en-US" w:bidi="ar-SA"/>
      </w:rPr>
    </w:lvl>
    <w:lvl w:ilvl="4" w:tplc="4D40DD8A">
      <w:numFmt w:val="bullet"/>
      <w:lvlText w:val="•"/>
      <w:lvlJc w:val="left"/>
      <w:pPr>
        <w:ind w:left="4887" w:hanging="176"/>
      </w:pPr>
      <w:rPr>
        <w:rFonts w:hint="default"/>
        <w:lang w:val="ro-RO" w:eastAsia="en-US" w:bidi="ar-SA"/>
      </w:rPr>
    </w:lvl>
    <w:lvl w:ilvl="5" w:tplc="B8E812F4">
      <w:numFmt w:val="bullet"/>
      <w:lvlText w:val="•"/>
      <w:lvlJc w:val="left"/>
      <w:pPr>
        <w:ind w:left="5814" w:hanging="176"/>
      </w:pPr>
      <w:rPr>
        <w:rFonts w:hint="default"/>
        <w:lang w:val="ro-RO" w:eastAsia="en-US" w:bidi="ar-SA"/>
      </w:rPr>
    </w:lvl>
    <w:lvl w:ilvl="6" w:tplc="A28A181A">
      <w:numFmt w:val="bullet"/>
      <w:lvlText w:val="•"/>
      <w:lvlJc w:val="left"/>
      <w:pPr>
        <w:ind w:left="6740" w:hanging="176"/>
      </w:pPr>
      <w:rPr>
        <w:rFonts w:hint="default"/>
        <w:lang w:val="ro-RO" w:eastAsia="en-US" w:bidi="ar-SA"/>
      </w:rPr>
    </w:lvl>
    <w:lvl w:ilvl="7" w:tplc="108E7CF6">
      <w:numFmt w:val="bullet"/>
      <w:lvlText w:val="•"/>
      <w:lvlJc w:val="left"/>
      <w:pPr>
        <w:ind w:left="7667" w:hanging="176"/>
      </w:pPr>
      <w:rPr>
        <w:rFonts w:hint="default"/>
        <w:lang w:val="ro-RO" w:eastAsia="en-US" w:bidi="ar-SA"/>
      </w:rPr>
    </w:lvl>
    <w:lvl w:ilvl="8" w:tplc="8918060E">
      <w:numFmt w:val="bullet"/>
      <w:lvlText w:val="•"/>
      <w:lvlJc w:val="left"/>
      <w:pPr>
        <w:ind w:left="8594" w:hanging="176"/>
      </w:pPr>
      <w:rPr>
        <w:rFonts w:hint="default"/>
        <w:lang w:val="ro-RO" w:eastAsia="en-US" w:bidi="ar-SA"/>
      </w:rPr>
    </w:lvl>
  </w:abstractNum>
  <w:abstractNum w:abstractNumId="1" w15:restartNumberingAfterBreak="0">
    <w:nsid w:val="387C3B7F"/>
    <w:multiLevelType w:val="hybridMultilevel"/>
    <w:tmpl w:val="847E3FFC"/>
    <w:lvl w:ilvl="0" w:tplc="048E3AAC">
      <w:start w:val="1"/>
      <w:numFmt w:val="decimal"/>
      <w:lvlText w:val="%1."/>
      <w:lvlJc w:val="left"/>
      <w:pPr>
        <w:ind w:left="516" w:hanging="240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ro-RO" w:eastAsia="en-US" w:bidi="ar-SA"/>
      </w:rPr>
    </w:lvl>
    <w:lvl w:ilvl="1" w:tplc="287092EA">
      <w:numFmt w:val="bullet"/>
      <w:lvlText w:val=""/>
      <w:lvlJc w:val="left"/>
      <w:pPr>
        <w:ind w:left="1357" w:hanging="361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2" w:tplc="80047ABC">
      <w:numFmt w:val="bullet"/>
      <w:lvlText w:val="•"/>
      <w:lvlJc w:val="left"/>
      <w:pPr>
        <w:ind w:left="1458" w:hanging="361"/>
      </w:pPr>
      <w:rPr>
        <w:rFonts w:hint="default"/>
        <w:lang w:val="ro-RO" w:eastAsia="en-US" w:bidi="ar-SA"/>
      </w:rPr>
    </w:lvl>
    <w:lvl w:ilvl="3" w:tplc="0BE6D840">
      <w:numFmt w:val="bullet"/>
      <w:lvlText w:val="•"/>
      <w:lvlJc w:val="left"/>
      <w:pPr>
        <w:ind w:left="1556" w:hanging="361"/>
      </w:pPr>
      <w:rPr>
        <w:rFonts w:hint="default"/>
        <w:lang w:val="ro-RO" w:eastAsia="en-US" w:bidi="ar-SA"/>
      </w:rPr>
    </w:lvl>
    <w:lvl w:ilvl="4" w:tplc="C0D40A3C">
      <w:numFmt w:val="bullet"/>
      <w:lvlText w:val="•"/>
      <w:lvlJc w:val="left"/>
      <w:pPr>
        <w:ind w:left="1654" w:hanging="361"/>
      </w:pPr>
      <w:rPr>
        <w:rFonts w:hint="default"/>
        <w:lang w:val="ro-RO" w:eastAsia="en-US" w:bidi="ar-SA"/>
      </w:rPr>
    </w:lvl>
    <w:lvl w:ilvl="5" w:tplc="F0E66BA4">
      <w:numFmt w:val="bullet"/>
      <w:lvlText w:val="•"/>
      <w:lvlJc w:val="left"/>
      <w:pPr>
        <w:ind w:left="1752" w:hanging="361"/>
      </w:pPr>
      <w:rPr>
        <w:rFonts w:hint="default"/>
        <w:lang w:val="ro-RO" w:eastAsia="en-US" w:bidi="ar-SA"/>
      </w:rPr>
    </w:lvl>
    <w:lvl w:ilvl="6" w:tplc="F5B24E88">
      <w:numFmt w:val="bullet"/>
      <w:lvlText w:val="•"/>
      <w:lvlJc w:val="left"/>
      <w:pPr>
        <w:ind w:left="1850" w:hanging="361"/>
      </w:pPr>
      <w:rPr>
        <w:rFonts w:hint="default"/>
        <w:lang w:val="ro-RO" w:eastAsia="en-US" w:bidi="ar-SA"/>
      </w:rPr>
    </w:lvl>
    <w:lvl w:ilvl="7" w:tplc="1B7A9A44">
      <w:numFmt w:val="bullet"/>
      <w:lvlText w:val="•"/>
      <w:lvlJc w:val="left"/>
      <w:pPr>
        <w:ind w:left="1948" w:hanging="361"/>
      </w:pPr>
      <w:rPr>
        <w:rFonts w:hint="default"/>
        <w:lang w:val="ro-RO" w:eastAsia="en-US" w:bidi="ar-SA"/>
      </w:rPr>
    </w:lvl>
    <w:lvl w:ilvl="8" w:tplc="AF5031B4">
      <w:numFmt w:val="bullet"/>
      <w:lvlText w:val="•"/>
      <w:lvlJc w:val="left"/>
      <w:pPr>
        <w:ind w:left="2046" w:hanging="361"/>
      </w:pPr>
      <w:rPr>
        <w:rFonts w:hint="default"/>
        <w:lang w:val="ro-RO" w:eastAsia="en-US" w:bidi="ar-SA"/>
      </w:rPr>
    </w:lvl>
  </w:abstractNum>
  <w:abstractNum w:abstractNumId="2" w15:restartNumberingAfterBreak="0">
    <w:nsid w:val="44773CC9"/>
    <w:multiLevelType w:val="hybridMultilevel"/>
    <w:tmpl w:val="583C6416"/>
    <w:lvl w:ilvl="0" w:tplc="11E4C082">
      <w:numFmt w:val="bullet"/>
      <w:lvlText w:val="-"/>
      <w:lvlJc w:val="left"/>
      <w:pPr>
        <w:ind w:left="217" w:hanging="10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0"/>
        <w:szCs w:val="20"/>
        <w:lang w:val="ro-RO" w:eastAsia="en-US" w:bidi="ar-SA"/>
      </w:rPr>
    </w:lvl>
    <w:lvl w:ilvl="1" w:tplc="C4520C48">
      <w:numFmt w:val="bullet"/>
      <w:lvlText w:val="•"/>
      <w:lvlJc w:val="left"/>
      <w:pPr>
        <w:ind w:left="511" w:hanging="104"/>
      </w:pPr>
      <w:rPr>
        <w:rFonts w:hint="default"/>
        <w:lang w:val="ro-RO" w:eastAsia="en-US" w:bidi="ar-SA"/>
      </w:rPr>
    </w:lvl>
    <w:lvl w:ilvl="2" w:tplc="82B4BCE0">
      <w:numFmt w:val="bullet"/>
      <w:lvlText w:val="•"/>
      <w:lvlJc w:val="left"/>
      <w:pPr>
        <w:ind w:left="802" w:hanging="104"/>
      </w:pPr>
      <w:rPr>
        <w:rFonts w:hint="default"/>
        <w:lang w:val="ro-RO" w:eastAsia="en-US" w:bidi="ar-SA"/>
      </w:rPr>
    </w:lvl>
    <w:lvl w:ilvl="3" w:tplc="5F5A9DF8">
      <w:numFmt w:val="bullet"/>
      <w:lvlText w:val="•"/>
      <w:lvlJc w:val="left"/>
      <w:pPr>
        <w:ind w:left="1093" w:hanging="104"/>
      </w:pPr>
      <w:rPr>
        <w:rFonts w:hint="default"/>
        <w:lang w:val="ro-RO" w:eastAsia="en-US" w:bidi="ar-SA"/>
      </w:rPr>
    </w:lvl>
    <w:lvl w:ilvl="4" w:tplc="B80C3406">
      <w:numFmt w:val="bullet"/>
      <w:lvlText w:val="•"/>
      <w:lvlJc w:val="left"/>
      <w:pPr>
        <w:ind w:left="1384" w:hanging="104"/>
      </w:pPr>
      <w:rPr>
        <w:rFonts w:hint="default"/>
        <w:lang w:val="ro-RO" w:eastAsia="en-US" w:bidi="ar-SA"/>
      </w:rPr>
    </w:lvl>
    <w:lvl w:ilvl="5" w:tplc="26D29DCE">
      <w:numFmt w:val="bullet"/>
      <w:lvlText w:val="•"/>
      <w:lvlJc w:val="left"/>
      <w:pPr>
        <w:ind w:left="1676" w:hanging="104"/>
      </w:pPr>
      <w:rPr>
        <w:rFonts w:hint="default"/>
        <w:lang w:val="ro-RO" w:eastAsia="en-US" w:bidi="ar-SA"/>
      </w:rPr>
    </w:lvl>
    <w:lvl w:ilvl="6" w:tplc="4FE6930E">
      <w:numFmt w:val="bullet"/>
      <w:lvlText w:val="•"/>
      <w:lvlJc w:val="left"/>
      <w:pPr>
        <w:ind w:left="1967" w:hanging="104"/>
      </w:pPr>
      <w:rPr>
        <w:rFonts w:hint="default"/>
        <w:lang w:val="ro-RO" w:eastAsia="en-US" w:bidi="ar-SA"/>
      </w:rPr>
    </w:lvl>
    <w:lvl w:ilvl="7" w:tplc="E54AD6C6">
      <w:numFmt w:val="bullet"/>
      <w:lvlText w:val="•"/>
      <w:lvlJc w:val="left"/>
      <w:pPr>
        <w:ind w:left="2258" w:hanging="104"/>
      </w:pPr>
      <w:rPr>
        <w:rFonts w:hint="default"/>
        <w:lang w:val="ro-RO" w:eastAsia="en-US" w:bidi="ar-SA"/>
      </w:rPr>
    </w:lvl>
    <w:lvl w:ilvl="8" w:tplc="FD369CC4">
      <w:numFmt w:val="bullet"/>
      <w:lvlText w:val="•"/>
      <w:lvlJc w:val="left"/>
      <w:pPr>
        <w:ind w:left="2549" w:hanging="104"/>
      </w:pPr>
      <w:rPr>
        <w:rFonts w:hint="default"/>
        <w:lang w:val="ro-RO" w:eastAsia="en-US" w:bidi="ar-SA"/>
      </w:rPr>
    </w:lvl>
  </w:abstractNum>
  <w:abstractNum w:abstractNumId="3" w15:restartNumberingAfterBreak="0">
    <w:nsid w:val="504A744D"/>
    <w:multiLevelType w:val="hybridMultilevel"/>
    <w:tmpl w:val="EF180B60"/>
    <w:lvl w:ilvl="0" w:tplc="C8A4C5BA">
      <w:numFmt w:val="bullet"/>
      <w:lvlText w:val="-"/>
      <w:lvlJc w:val="left"/>
      <w:pPr>
        <w:ind w:left="404" w:hanging="128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ro-RO" w:eastAsia="en-US" w:bidi="ar-SA"/>
      </w:rPr>
    </w:lvl>
    <w:lvl w:ilvl="1" w:tplc="198A17A2">
      <w:numFmt w:val="bullet"/>
      <w:lvlText w:val="•"/>
      <w:lvlJc w:val="left"/>
      <w:pPr>
        <w:ind w:left="1404" w:hanging="128"/>
      </w:pPr>
      <w:rPr>
        <w:rFonts w:hint="default"/>
        <w:lang w:val="ro-RO" w:eastAsia="en-US" w:bidi="ar-SA"/>
      </w:rPr>
    </w:lvl>
    <w:lvl w:ilvl="2" w:tplc="F452971A">
      <w:numFmt w:val="bullet"/>
      <w:lvlText w:val="•"/>
      <w:lvlJc w:val="left"/>
      <w:pPr>
        <w:ind w:left="2409" w:hanging="128"/>
      </w:pPr>
      <w:rPr>
        <w:rFonts w:hint="default"/>
        <w:lang w:val="ro-RO" w:eastAsia="en-US" w:bidi="ar-SA"/>
      </w:rPr>
    </w:lvl>
    <w:lvl w:ilvl="3" w:tplc="64686DAE">
      <w:numFmt w:val="bullet"/>
      <w:lvlText w:val="•"/>
      <w:lvlJc w:val="left"/>
      <w:pPr>
        <w:ind w:left="3414" w:hanging="128"/>
      </w:pPr>
      <w:rPr>
        <w:rFonts w:hint="default"/>
        <w:lang w:val="ro-RO" w:eastAsia="en-US" w:bidi="ar-SA"/>
      </w:rPr>
    </w:lvl>
    <w:lvl w:ilvl="4" w:tplc="28A213E2">
      <w:numFmt w:val="bullet"/>
      <w:lvlText w:val="•"/>
      <w:lvlJc w:val="left"/>
      <w:pPr>
        <w:ind w:left="4419" w:hanging="128"/>
      </w:pPr>
      <w:rPr>
        <w:rFonts w:hint="default"/>
        <w:lang w:val="ro-RO" w:eastAsia="en-US" w:bidi="ar-SA"/>
      </w:rPr>
    </w:lvl>
    <w:lvl w:ilvl="5" w:tplc="158639EE">
      <w:numFmt w:val="bullet"/>
      <w:lvlText w:val="•"/>
      <w:lvlJc w:val="left"/>
      <w:pPr>
        <w:ind w:left="5424" w:hanging="128"/>
      </w:pPr>
      <w:rPr>
        <w:rFonts w:hint="default"/>
        <w:lang w:val="ro-RO" w:eastAsia="en-US" w:bidi="ar-SA"/>
      </w:rPr>
    </w:lvl>
    <w:lvl w:ilvl="6" w:tplc="BA20CFE2">
      <w:numFmt w:val="bullet"/>
      <w:lvlText w:val="•"/>
      <w:lvlJc w:val="left"/>
      <w:pPr>
        <w:ind w:left="6428" w:hanging="128"/>
      </w:pPr>
      <w:rPr>
        <w:rFonts w:hint="default"/>
        <w:lang w:val="ro-RO" w:eastAsia="en-US" w:bidi="ar-SA"/>
      </w:rPr>
    </w:lvl>
    <w:lvl w:ilvl="7" w:tplc="8886F454">
      <w:numFmt w:val="bullet"/>
      <w:lvlText w:val="•"/>
      <w:lvlJc w:val="left"/>
      <w:pPr>
        <w:ind w:left="7433" w:hanging="128"/>
      </w:pPr>
      <w:rPr>
        <w:rFonts w:hint="default"/>
        <w:lang w:val="ro-RO" w:eastAsia="en-US" w:bidi="ar-SA"/>
      </w:rPr>
    </w:lvl>
    <w:lvl w:ilvl="8" w:tplc="C458FA3C">
      <w:numFmt w:val="bullet"/>
      <w:lvlText w:val="•"/>
      <w:lvlJc w:val="left"/>
      <w:pPr>
        <w:ind w:left="8438" w:hanging="128"/>
      </w:pPr>
      <w:rPr>
        <w:rFonts w:hint="default"/>
        <w:lang w:val="ro-RO" w:eastAsia="en-US" w:bidi="ar-SA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824E5D"/>
    <w:rsid w:val="00824E5D"/>
    <w:rsid w:val="009D4A3E"/>
    <w:rsid w:val="009F1C4D"/>
    <w:rsid w:val="00FE6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CCC1D0"/>
  <w15:docId w15:val="{3260F7A0-9403-4EAA-9DA2-07307D52A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uiPriority w:val="1"/>
    <w:qFormat/>
    <w:rPr>
      <w:rFonts w:ascii="Calibri" w:eastAsia="Calibri" w:hAnsi="Calibri" w:cs="Calibri"/>
      <w:lang w:val="ro-RO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zvegtrzs">
    <w:name w:val="Body Text"/>
    <w:basedOn w:val="Norml"/>
    <w:uiPriority w:val="1"/>
    <w:qFormat/>
    <w:pPr>
      <w:ind w:left="276"/>
    </w:pPr>
    <w:rPr>
      <w:sz w:val="24"/>
      <w:szCs w:val="24"/>
    </w:rPr>
  </w:style>
  <w:style w:type="paragraph" w:styleId="Cm">
    <w:name w:val="Title"/>
    <w:basedOn w:val="Norml"/>
    <w:uiPriority w:val="1"/>
    <w:qFormat/>
    <w:pPr>
      <w:spacing w:before="44"/>
      <w:ind w:left="271" w:right="3097"/>
      <w:jc w:val="center"/>
    </w:pPr>
    <w:rPr>
      <w:b/>
      <w:bCs/>
      <w:sz w:val="28"/>
      <w:szCs w:val="28"/>
    </w:rPr>
  </w:style>
  <w:style w:type="paragraph" w:styleId="Listaszerbekezds">
    <w:name w:val="List Paragraph"/>
    <w:basedOn w:val="Norml"/>
    <w:uiPriority w:val="1"/>
    <w:qFormat/>
    <w:pPr>
      <w:ind w:left="516" w:hanging="241"/>
    </w:pPr>
  </w:style>
  <w:style w:type="paragraph" w:customStyle="1" w:styleId="TableParagraph">
    <w:name w:val="Table Paragraph"/>
    <w:basedOn w:val="Norml"/>
    <w:uiPriority w:val="1"/>
    <w:qFormat/>
    <w:pPr>
      <w:spacing w:before="1"/>
      <w:ind w:left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hyperlink" Target="mailto:office@sarcom.ro" TargetMode="External"/><Relationship Id="rId5" Type="http://schemas.openxmlformats.org/officeDocument/2006/relationships/hyperlink" Target="http://www.sarcom.ro/" TargetMode="External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1483</Words>
  <Characters>10238</Characters>
  <Application>Microsoft Office Word</Application>
  <DocSecurity>0</DocSecurity>
  <Lines>85</Lines>
  <Paragraphs>23</Paragraphs>
  <ScaleCrop>false</ScaleCrop>
  <Company/>
  <LinksUpToDate>false</LinksUpToDate>
  <CharactersWithSpaces>11698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fsdagsdf</dc:creator>
  <cp:lastModifiedBy>PM9</cp:lastModifiedBy>
  <cp:revision>3</cp:revision>
  <dcterms:created xsi:type="dcterms:W3CDTF">2025-02-27T15:33:00Z</dcterms:created>
  <dcterms:modified xsi:type="dcterms:W3CDTF">2025-03-11T10:05:00Z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2022-09-26T00:00:00Z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2025-02-27T00:00:00Z</vt:filetime>
  </property>
</Properties>
</file>