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9"/>
        <w:ind w:left="6598" w:right="0" w:firstLine="0"/>
        <w:jc w:val="left"/>
        <w:rPr>
          <w:sz w:val="20"/>
        </w:rPr>
        <w:bidi w:val="0"/>
      </w:pPr>
      <w:r>
        <w:rPr>
          <w:sz w:val="20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Verzió dátuma: 13.09.2022</w:t>
      </w:r>
    </w:p>
    <w:p>
      <w:pPr>
        <w:pStyle w:val="BodyText"/>
        <w:spacing w:before="4"/>
        <w:rPr>
          <w:sz w:val="29"/>
        </w:rPr>
      </w:pPr>
    </w:p>
    <w:p>
      <w:pPr>
        <w:pStyle w:val="Title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ADATLAP</w:t>
      </w:r>
    </w:p>
    <w:p>
      <w:pPr>
        <w:pStyle w:val="BodyText"/>
        <w:spacing w:before="7"/>
        <w:rPr>
          <w:b/>
          <w:sz w:val="31"/>
        </w:rPr>
      </w:pPr>
    </w:p>
    <w:p>
      <w:pPr>
        <w:spacing w:before="0"/>
        <w:ind w:left="1997" w:right="1564" w:firstLine="0"/>
        <w:jc w:val="center"/>
        <w:rPr>
          <w:b/>
          <w:i/>
          <w:sz w:val="32"/>
        </w:rPr>
        <w:bidi w:val="0"/>
      </w:pPr>
      <w:r>
        <w:rPr>
          <w:sz w:val="32"/>
          <w:lang w:val="hu"/>
          <w:b w:val="1"/>
          <w:bCs w:val="1"/>
          <w:i w:val="1"/>
          <w:iCs w:val="1"/>
          <w:u w:val="none"/>
          <w:vertAlign w:val="baseline"/>
          <w:rtl w:val="0"/>
        </w:rPr>
        <w:t xml:space="preserve">RAGADÓS SZÍN - SZUPERKONCENTRÁLT PIGMENTEK</w:t>
      </w:r>
    </w:p>
    <w:p>
      <w:pPr>
        <w:spacing w:before="198"/>
        <w:ind w:left="1983" w:right="1564" w:firstLine="0"/>
        <w:jc w:val="center"/>
        <w:rPr>
          <w:i/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beltéri és kültéri dekoratív festéshez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837" w:val="left" w:leader="none"/>
        </w:tabs>
        <w:spacing w:line="240" w:lineRule="auto" w:before="0" w:after="0"/>
        <w:ind w:left="836" w:right="0" w:hanging="361"/>
        <w:jc w:val="both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Termékleírás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116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Szerves és/vagy szervetlen pigmenteken alapuló koncentrált színezőpaszták vizes diszperzióban, reológiai adalékanyagokban, habzásgátló anyagokban, tartósítószerekben stb.</w:t>
      </w:r>
    </w:p>
    <w:p>
      <w:pPr>
        <w:pStyle w:val="BodyText"/>
        <w:spacing w:before="2"/>
      </w:pPr>
    </w:p>
    <w:p>
      <w:pPr>
        <w:spacing w:line="292" w:lineRule="exact" w:before="0"/>
        <w:ind w:left="476" w:right="0" w:firstLine="0"/>
        <w:jc w:val="left"/>
        <w:rPr>
          <w:b/>
          <w:i/>
          <w:sz w:val="24"/>
        </w:rPr>
        <w:bidi w:val="0"/>
      </w:pP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SZÍNTARTOMÁNY </w:t>
      </w:r>
      <w:r>
        <w:rPr>
          <w:sz w:val="24"/>
          <w:lang w:val="hu"/>
          <w:b w:val="1"/>
          <w:bCs w:val="1"/>
          <w:i w:val="1"/>
          <w:iCs w:val="1"/>
          <w:u w:val="none"/>
          <w:vertAlign w:val="baseline"/>
          <w:rtl w:val="0"/>
        </w:rPr>
        <w:t xml:space="preserve">A szuper koncentrált ragacsos színpigmentekhez:</w:t>
      </w:r>
    </w:p>
    <w:p>
      <w:pPr>
        <w:spacing w:line="240" w:lineRule="auto" w:before="0"/>
        <w:ind w:left="476" w:right="4349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CITROMSÁRGA (S 01)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BANÁNSÁRGA (S 02)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PAI SÁRGA (S 03)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ARANYSÁRGA (S04)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használatra</w:t>
      </w:r>
    </w:p>
    <w:p>
      <w:pPr>
        <w:spacing w:line="293" w:lineRule="exact" w:before="0"/>
        <w:ind w:left="476" w:right="0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OKKER (S 05)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</w:t>
      </w:r>
    </w:p>
    <w:p>
      <w:pPr>
        <w:spacing w:line="293" w:lineRule="exact" w:before="0"/>
        <w:ind w:left="476" w:right="0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NARANCS (S 06)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használat</w:t>
      </w:r>
    </w:p>
    <w:p>
      <w:pPr>
        <w:spacing w:line="292" w:lineRule="exact" w:before="3"/>
        <w:ind w:left="476" w:right="0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ŐSZIBARACK NARANCS (S 07)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</w:t>
      </w:r>
    </w:p>
    <w:p>
      <w:pPr>
        <w:spacing w:before="0"/>
        <w:ind w:left="476" w:right="5135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PIROS (S 08)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MAGENTA (S 09)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LILA (S 10)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</w:t>
      </w:r>
    </w:p>
    <w:p>
      <w:pPr>
        <w:spacing w:line="240" w:lineRule="auto" w:before="0"/>
        <w:ind w:left="476" w:right="3415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ROYAL BLUE (S11)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CIEL BLUE (S12)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Türkizkék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(S 13)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MENTAZÖLD (S 14)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</w:t>
      </w:r>
    </w:p>
    <w:p>
      <w:pPr>
        <w:spacing w:line="240" w:lineRule="auto" w:before="0"/>
        <w:ind w:left="476" w:right="4132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KRÓMZÖLD (S 15)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FŰZÖLD (S 16)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GESZTENYEBARNA (S 17)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OXIDVÖRÖS (S 18)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Dohánybarna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(S 19)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FEKETE (S 20)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</w:t>
      </w:r>
    </w:p>
    <w:p>
      <w:pPr>
        <w:spacing w:before="0"/>
        <w:ind w:left="476" w:right="4989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OLÍVA (S 21)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BÉZS (S 22)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KRÉM (S23)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használatra</w:t>
      </w:r>
    </w:p>
    <w:p>
      <w:pPr>
        <w:spacing w:before="1"/>
        <w:ind w:left="476" w:right="0" w:firstLine="0"/>
        <w:jc w:val="left"/>
        <w:rPr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RÓZSAVÖRÖS (S 24) –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beltéri és kültéri használat</w:t>
      </w:r>
    </w:p>
    <w:p>
      <w:pPr>
        <w:pStyle w:val="BodyText"/>
        <w:spacing w:before="11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753" w:val="left" w:leader="none"/>
        </w:tabs>
        <w:spacing w:line="292" w:lineRule="exact" w:before="0" w:after="0"/>
        <w:ind w:left="752" w:right="0" w:hanging="241"/>
        <w:jc w:val="both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Felhasználási terület</w:t>
      </w:r>
    </w:p>
    <w:p>
      <w:pPr>
        <w:pStyle w:val="BodyText"/>
        <w:ind w:left="116" w:right="405" w:firstLine="12"/>
        <w:jc w:val="both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Mosható, félig mosható festékek, vizes mészalapú kompozíciók, díszítővakolatok, vízbázisú zománcok, alapozók és vízalapú fa lakkok színezésére, valamint betonhoz, gipszhez, illesztési kompozíciókhoz, fugákhoz való keverékekhez használják.</w:t>
      </w:r>
    </w:p>
    <w:p>
      <w:pPr>
        <w:spacing w:after="0"/>
        <w:jc w:val="both"/>
        <w:sectPr>
          <w:headerReference w:type="default" r:id="rId5"/>
          <w:footerReference w:type="default" r:id="rId6"/>
          <w:type w:val="continuous"/>
          <w:pgSz w:w="11910" w:h="16840"/>
          <w:pgMar w:header="266" w:footer="251" w:top="1600" w:bottom="440" w:left="1300" w:right="600"/>
          <w:pgNumType w:start="1"/>
        </w:sectPr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357" w:val="left" w:leader="none"/>
        </w:tabs>
        <w:spacing w:line="292" w:lineRule="exact" w:before="51" w:after="0"/>
        <w:ind w:left="356" w:right="0" w:hanging="241"/>
        <w:jc w:val="left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Főbb jellemzők:</w:t>
      </w:r>
    </w:p>
    <w:p>
      <w:pPr>
        <w:pStyle w:val="ListParagraph"/>
        <w:numPr>
          <w:ilvl w:val="1"/>
          <w:numId w:val="1"/>
        </w:numPr>
        <w:tabs>
          <w:tab w:pos="957" w:val="left" w:leader="none"/>
        </w:tabs>
        <w:spacing w:line="304" w:lineRule="exact" w:before="0" w:after="0"/>
        <w:ind w:left="956" w:right="0" w:hanging="361"/>
        <w:jc w:val="both"/>
        <w:rPr>
          <w:sz w:val="24"/>
        </w:rPr>
        <w:bidi w:val="0"/>
      </w:pP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változatos, gondosan kiválasztott színtartományt kínál,</w:t>
      </w:r>
    </w:p>
    <w:p>
      <w:pPr>
        <w:pStyle w:val="BodyText"/>
        <w:spacing w:line="242" w:lineRule="auto"/>
        <w:ind w:left="596" w:right="381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 kívánt szín kiválasztása a RAGACSOS SZÍNKÁRTYÁK közül </w:t>
      </w:r>
      <w:r>
        <w:rPr>
          <w:color w:val="44444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(a terméket árusító üzletekben kapható):</w:t>
      </w:r>
    </w:p>
    <w:p>
      <w:pPr>
        <w:pStyle w:val="ListParagraph"/>
        <w:numPr>
          <w:ilvl w:val="2"/>
          <w:numId w:val="1"/>
        </w:numPr>
        <w:tabs>
          <w:tab w:pos="1817" w:val="left" w:leader="none"/>
        </w:tabs>
        <w:spacing w:line="240" w:lineRule="auto" w:before="0" w:after="0"/>
        <w:ind w:left="1557" w:right="414" w:firstLine="56"/>
        <w:jc w:val="left"/>
        <w:rPr>
          <w:i/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színes kártya a Sticky és Coral termékcsalád mosható belső festékeihez;</w:t>
      </w:r>
    </w:p>
    <w:p>
      <w:pPr>
        <w:pStyle w:val="ListParagraph"/>
        <w:numPr>
          <w:ilvl w:val="2"/>
          <w:numId w:val="1"/>
        </w:numPr>
        <w:tabs>
          <w:tab w:pos="1813" w:val="left" w:leader="none"/>
        </w:tabs>
        <w:spacing w:line="242" w:lineRule="auto" w:before="0" w:after="0"/>
        <w:ind w:left="1557" w:right="417" w:firstLine="56"/>
        <w:jc w:val="left"/>
        <w:rPr>
          <w:i/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színes kártya a Sticky és Coral termékcsalád mosható külső festékeihez;</w:t>
      </w:r>
    </w:p>
    <w:p>
      <w:pPr>
        <w:pStyle w:val="ListParagraph"/>
        <w:numPr>
          <w:ilvl w:val="1"/>
          <w:numId w:val="1"/>
        </w:numPr>
        <w:tabs>
          <w:tab w:pos="957" w:val="left" w:leader="none"/>
        </w:tabs>
        <w:spacing w:line="301" w:lineRule="exact" w:before="0" w:after="0"/>
        <w:ind w:left="956" w:right="0" w:hanging="361"/>
        <w:jc w:val="both"/>
        <w:rPr>
          <w:sz w:val="24"/>
        </w:rPr>
        <w:bidi w:val="0"/>
      </w:pP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gyorsan diszpergálódik a vízalapú bevonó termékekben;</w:t>
      </w:r>
    </w:p>
    <w:p>
      <w:pPr>
        <w:pStyle w:val="ListParagraph"/>
        <w:numPr>
          <w:ilvl w:val="1"/>
          <w:numId w:val="1"/>
        </w:numPr>
        <w:tabs>
          <w:tab w:pos="957" w:val="left" w:leader="none"/>
        </w:tabs>
        <w:spacing w:line="240" w:lineRule="auto" w:before="17" w:after="0"/>
        <w:ind w:left="956" w:right="403" w:hanging="360"/>
        <w:jc w:val="both"/>
        <w:rPr>
          <w:sz w:val="24"/>
        </w:rPr>
        <w:bidi w:val="0"/>
      </w:pP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 gyakorlatban korlátlan számú szín és árnyalat érhető el, mivel a szuperkoncentrált RAGACSOS színpigmentek kiválóan keverednek egymással, lehetővé téve saját színezésük kialakulását.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468" w:val="left" w:leader="none"/>
        </w:tabs>
        <w:spacing w:line="240" w:lineRule="auto" w:before="0" w:after="0"/>
        <w:ind w:left="467" w:right="0" w:hanging="352"/>
        <w:jc w:val="left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Műszaki jellemzők:</w:t>
      </w:r>
    </w:p>
    <w:tbl>
      <w:tblPr>
        <w:tblW w:w="0" w:type="auto"/>
        <w:jc w:val="left"/>
        <w:tblInd w:w="44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"/>
        <w:gridCol w:w="3870"/>
        <w:gridCol w:w="2254"/>
        <w:gridCol w:w="2610"/>
      </w:tblGrid>
      <w:tr>
        <w:trPr>
          <w:trHeight w:val="490" w:hRule="atLeast"/>
        </w:trPr>
        <w:tc>
          <w:tcPr>
            <w:tcW w:w="72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44" w:lineRule="exact" w:before="0"/>
              <w:ind w:left="249" w:right="24" w:hanging="16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Krit. sz.</w:t>
            </w:r>
          </w:p>
        </w:tc>
        <w:tc>
          <w:tcPr>
            <w:tcW w:w="38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25"/>
              <w:ind w:left="156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JELLEMZŐ</w:t>
            </w:r>
          </w:p>
        </w:tc>
        <w:tc>
          <w:tcPr>
            <w:tcW w:w="225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4" w:lineRule="exact" w:before="5"/>
              <w:ind w:left="240" w:right="197"/>
              <w:jc w:val="center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ELFOGADHATÓSÁGI</w:t>
            </w:r>
          </w:p>
          <w:p>
            <w:pPr>
              <w:pStyle w:val="TableParagraph"/>
              <w:spacing w:before="0"/>
              <w:ind w:left="240" w:right="197"/>
              <w:jc w:val="center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FELTÉTELEK</w:t>
            </w:r>
          </w:p>
        </w:tc>
        <w:tc>
          <w:tcPr>
            <w:tcW w:w="261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0" w:lineRule="auto" w:before="5"/>
              <w:ind w:left="0" w:right="259"/>
              <w:jc w:val="right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VIZSGÁLATI MÓDSZER</w:t>
            </w:r>
          </w:p>
        </w:tc>
      </w:tr>
      <w:tr>
        <w:trPr>
          <w:trHeight w:val="243" w:hRule="atLeast"/>
        </w:trPr>
        <w:tc>
          <w:tcPr>
            <w:tcW w:w="72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0</w:t>
            </w:r>
          </w:p>
        </w:tc>
        <w:tc>
          <w:tcPr>
            <w:tcW w:w="38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47"/>
              <w:jc w:val="center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1</w:t>
            </w:r>
          </w:p>
        </w:tc>
        <w:tc>
          <w:tcPr>
            <w:tcW w:w="225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45"/>
              <w:jc w:val="center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</w:p>
        </w:tc>
        <w:tc>
          <w:tcPr>
            <w:tcW w:w="261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38"/>
              <w:jc w:val="center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3</w:t>
            </w:r>
          </w:p>
        </w:tc>
      </w:tr>
      <w:tr>
        <w:trPr>
          <w:trHeight w:val="242" w:hRule="atLeast"/>
        </w:trPr>
        <w:tc>
          <w:tcPr>
            <w:tcW w:w="721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301"/>
              <w:rPr>
                <w:b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tcW w:w="8734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ind w:left="109"/>
              <w:rPr>
                <w:b/>
                <w:i/>
                <w:sz w:val="20"/>
              </w:rPr>
              <w:bidi w:val="0"/>
            </w:pPr>
            <w:r>
              <w:rPr>
                <w:sz w:val="20"/>
                <w:lang w:val="hu"/>
                <w:b w:val="1"/>
                <w:bCs w:val="1"/>
                <w:i w:val="1"/>
                <w:iCs w:val="1"/>
                <w:u w:val="none"/>
                <w:vertAlign w:val="baseline"/>
                <w:rtl w:val="0"/>
              </w:rPr>
              <w:t xml:space="preserve">Termékjellemzők</w:t>
            </w:r>
          </w:p>
        </w:tc>
      </w:tr>
      <w:tr>
        <w:trPr>
          <w:trHeight w:val="246" w:hRule="atLeast"/>
        </w:trPr>
        <w:tc>
          <w:tcPr>
            <w:tcW w:w="721" w:type="dxa"/>
            <w:tcBorders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5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</w:t>
            </w:r>
          </w:p>
        </w:tc>
        <w:tc>
          <w:tcPr>
            <w:tcW w:w="387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5"/>
              <w:ind w:left="124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Megjelenés</w:t>
            </w:r>
          </w:p>
        </w:tc>
        <w:tc>
          <w:tcPr>
            <w:tcW w:w="2254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21" w:lineRule="exact" w:before="5"/>
              <w:ind w:left="245" w:right="197"/>
              <w:jc w:val="center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homogén, viszkózus folyadék</w:t>
            </w:r>
          </w:p>
        </w:tc>
        <w:tc>
          <w:tcPr>
            <w:tcW w:w="2610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21" w:lineRule="exact" w:before="5"/>
              <w:ind w:left="1066" w:right="1024"/>
              <w:jc w:val="center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vizuális</w:t>
            </w:r>
          </w:p>
        </w:tc>
      </w:tr>
      <w:tr>
        <w:trPr>
          <w:trHeight w:val="254" w:hRule="atLeast"/>
        </w:trPr>
        <w:tc>
          <w:tcPr>
            <w:tcW w:w="72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3" w:lineRule="exact" w:before="0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2" w:lineRule="exact" w:before="2"/>
              <w:ind w:left="124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Sűrűség 23 ± 0,5</w:t>
            </w:r>
            <w:r>
              <w:rPr>
                <w:rFonts w:ascii="Symbol" w:hAnsi="Symbol"/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</w:t>
            </w: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C, g/cm</w:t>
            </w: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9" w:lineRule="exact" w:before="4"/>
              <w:ind w:left="237" w:right="197"/>
              <w:jc w:val="center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1,05 – 1,85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29" w:lineRule="exact" w:before="4"/>
              <w:ind w:left="0" w:right="331"/>
              <w:jc w:val="right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SR EN ISO 2811-1:2016</w:t>
            </w:r>
          </w:p>
        </w:tc>
      </w:tr>
      <w:tr>
        <w:trPr>
          <w:trHeight w:val="241" w:hRule="atLeast"/>
        </w:trPr>
        <w:tc>
          <w:tcPr>
            <w:tcW w:w="721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17" w:lineRule="exact" w:before="4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3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17" w:lineRule="exact" w:before="4"/>
              <w:ind w:left="124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pH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17" w:lineRule="exact" w:before="4"/>
              <w:ind w:left="242" w:right="197"/>
              <w:jc w:val="center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7 - 9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17" w:lineRule="exact" w:before="4"/>
              <w:ind w:left="419"/>
              <w:rPr>
                <w:sz w:val="20"/>
              </w:rPr>
              <w:bidi w:val="0"/>
            </w:pPr>
            <w:r>
              <w:rPr>
                <w:sz w:val="20"/>
                <w:lang w:val="h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SR EN ISO 787-9:2019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1" w:after="0"/>
        <w:ind w:left="116" w:right="7735" w:firstLine="56"/>
        <w:jc w:val="left"/>
        <w:rPr>
          <w:b/>
          <w:sz w:val="24"/>
        </w:rPr>
        <w:bidi w:val="0"/>
      </w:pPr>
      <w:r>
        <w:rPr>
          <w:sz w:val="24"/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Hogyan kell használni A termék előkészítése</w:t>
      </w:r>
    </w:p>
    <w:p>
      <w:pPr>
        <w:pStyle w:val="BodyText"/>
        <w:spacing w:line="291" w:lineRule="exact"/>
        <w:ind w:left="116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Használat előtt alaposan rázza fel a terméket, hogy felkeveredjen.</w:t>
      </w:r>
    </w:p>
    <w:p>
      <w:pPr>
        <w:pStyle w:val="BodyText"/>
        <w:spacing w:line="242" w:lineRule="auto"/>
        <w:ind w:left="116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Helyezze a festéket a mosható festékbe, és alaposan öblítse ki a palackot a víz egy részével, amely a mosható festék hígítására szolgál.</w:t>
      </w:r>
    </w:p>
    <w:p>
      <w:pPr>
        <w:pStyle w:val="BodyText"/>
        <w:spacing w:line="289" w:lineRule="exact"/>
        <w:ind w:left="116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 kapott keveréket homogenizáljuk, amíg egyenletes színt nem kapunk.</w:t>
      </w:r>
    </w:p>
    <w:p>
      <w:pPr>
        <w:pStyle w:val="BodyText"/>
        <w:ind w:left="116" w:right="300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Az árnyalatváltozások elkerülése érdekében ajánlott a festést teljes egészében elvégezni, egyetlen tételnyi termék vagy különböző tételek homogén keverékének felhasználásával.</w:t>
      </w:r>
    </w:p>
    <w:p>
      <w:pPr>
        <w:spacing w:line="240" w:lineRule="auto" w:before="0"/>
        <w:ind w:left="116" w:right="381" w:firstLine="0"/>
        <w:jc w:val="left"/>
        <w:rPr>
          <w:i/>
          <w:sz w:val="24"/>
        </w:rPr>
        <w:bidi w:val="0"/>
      </w:pP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Figyelem! </w:t>
      </w:r>
      <w:r>
        <w:rPr>
          <w:sz w:val="24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A gyakorlatban kis vizuális különbségek fordulhatnak elő a színezett termékek és a kártya végső színei között, amelyeket a következők határoznak meg és befolyásolnak: az alkalmazott fólia megjelenése, szerkezete és vastagsága, a festék típusa és minősége, a felhasznált pigment mennyisége és a hordozó jellege. fényáram intenzitása és a fény típusa (természetes vagy mesterséges), amely alatt a színt értékelik.</w:t>
      </w:r>
    </w:p>
    <w:p>
      <w:pPr>
        <w:pStyle w:val="BodyText"/>
        <w:ind w:left="116" w:right="300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RAGADÓS SZÍNŰ KÁRTYÁK </w:t>
      </w:r>
      <w:r>
        <w:rPr>
          <w:color w:val="44444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kaphatók a terméket árusító üzletekben Ragadós színű szuperkoncentrált pigmentek a Ragadós mosható festékekhez; Supersticky és Coral. Más típusú mosható festékek esetében nem garantáljuk a színvisszaadást.</w:t>
      </w:r>
    </w:p>
    <w:p>
      <w:pPr>
        <w:spacing w:before="1"/>
        <w:ind w:left="116" w:right="0" w:firstLine="0"/>
        <w:jc w:val="left"/>
        <w:rPr>
          <w:i/>
          <w:sz w:val="20"/>
        </w:rPr>
        <w:bidi w:val="0"/>
      </w:pPr>
      <w:r>
        <w:rPr>
          <w:sz w:val="20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Javasoljuk, hogy kis mennyiségű termék felhasználásával végezzen kompatibilitási tesztet a színezendő termékkel.</w:t>
      </w:r>
    </w:p>
    <w:p>
      <w:pPr>
        <w:pStyle w:val="BodyText"/>
        <w:spacing w:before="8"/>
        <w:rPr>
          <w:i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240" w:lineRule="auto" w:before="1" w:after="0"/>
        <w:ind w:left="356" w:right="0" w:hanging="241"/>
        <w:jc w:val="left"/>
        <w:rPr>
          <w:sz w:val="24"/>
        </w:rPr>
        <w:bidi w:val="0"/>
      </w:pPr>
      <w:r>
        <w:rPr>
          <w:sz w:val="24"/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Fajlagos fogyasztás: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 kívánt árnyalattól függően.</w:t>
      </w:r>
    </w:p>
    <w:p>
      <w:pPr>
        <w:pStyle w:val="BodyText"/>
        <w:spacing w:before="2"/>
      </w:pPr>
    </w:p>
    <w:p>
      <w:pPr>
        <w:pStyle w:val="Heading1"/>
        <w:numPr>
          <w:ilvl w:val="0"/>
          <w:numId w:val="1"/>
        </w:numPr>
        <w:tabs>
          <w:tab w:pos="412" w:val="left" w:leader="none"/>
        </w:tabs>
        <w:spacing w:line="293" w:lineRule="exact" w:before="0" w:after="0"/>
        <w:ind w:left="411" w:right="0" w:hanging="296"/>
        <w:jc w:val="left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Csomagolás, tárolás, szállítás</w:t>
      </w:r>
    </w:p>
    <w:p>
      <w:pPr>
        <w:pStyle w:val="BodyText"/>
        <w:ind w:left="116" w:right="381"/>
        <w:bidi w:val="0"/>
      </w:pPr>
      <w:r>
        <w:rPr>
          <w:lang w:val="hu"/>
          <w:b w:val="1"/>
          <w:bCs w:val="1"/>
          <w:i w:val="1"/>
          <w:iCs w:val="1"/>
          <w:u w:val="none"/>
          <w:vertAlign w:val="baseline"/>
          <w:rtl w:val="0"/>
        </w:rPr>
        <w:t xml:space="preserve">Csomagolás </w:t>
      </w: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- a termékek műanyag csövekbe vannak csomagolva, a következő kapacitással lezárva: 50 ml.</w:t>
      </w:r>
    </w:p>
    <w:p>
      <w:pPr>
        <w:spacing w:line="292" w:lineRule="exact" w:before="2"/>
        <w:ind w:left="116" w:right="0" w:firstLine="0"/>
        <w:jc w:val="left"/>
        <w:rPr>
          <w:sz w:val="24"/>
        </w:rPr>
        <w:bidi w:val="0"/>
      </w:pPr>
      <w:r>
        <w:rPr>
          <w:sz w:val="24"/>
          <w:lang w:val="hu"/>
          <w:b w:val="1"/>
          <w:bCs w:val="1"/>
          <w:i w:val="1"/>
          <w:iCs w:val="1"/>
          <w:u w:val="none"/>
          <w:vertAlign w:val="baseline"/>
          <w:rtl w:val="0"/>
        </w:rPr>
        <w:t xml:space="preserve">Tárolás és szállítás.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 tárolási és szállítási hőmérsékletnek min.</w:t>
      </w:r>
    </w:p>
    <w:p>
      <w:pPr>
        <w:pStyle w:val="BodyText"/>
        <w:spacing w:line="292" w:lineRule="exact"/>
        <w:ind w:left="116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+ 5 ºC (ez alatt a hőmérséklet alatt a termékek megfagyhatnak, leértékelődhetnek és használhatatlanná válhatnak) és</w:t>
      </w:r>
    </w:p>
    <w:p>
      <w:pPr>
        <w:pStyle w:val="BodyText"/>
        <w:spacing w:line="292" w:lineRule="exact"/>
        <w:ind w:left="116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max. 30 ºC . A termék szállítása fedett szállítóeszközzel történik.</w:t>
      </w:r>
    </w:p>
    <w:p>
      <w:pPr>
        <w:spacing w:after="0" w:line="292" w:lineRule="exact"/>
        <w:sectPr>
          <w:pgSz w:w="11910" w:h="16840"/>
          <w:pgMar w:header="266" w:footer="251" w:top="1600" w:bottom="440" w:left="1300" w:right="600"/>
        </w:sectPr>
      </w:pP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412" w:val="left" w:leader="none"/>
        </w:tabs>
        <w:spacing w:line="240" w:lineRule="auto" w:before="51" w:after="0"/>
        <w:ind w:left="116" w:right="1167" w:firstLine="0"/>
        <w:jc w:val="left"/>
        <w:rPr>
          <w:sz w:val="24"/>
        </w:rPr>
        <w:bidi w:val="0"/>
      </w:pPr>
      <w:r>
        <w:rPr>
          <w:sz w:val="24"/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Felhasználhatósági időtartam: </w:t>
      </w:r>
      <w:r>
        <w:rPr>
          <w:sz w:val="24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 gyártástól számított 36 hónap, az eredeti lezárt csomagolásban és legalább 5° C hőmérsékleten történő tárolás körülményei között.</w:t>
      </w:r>
    </w:p>
    <w:p>
      <w:pPr>
        <w:pStyle w:val="BodyText"/>
        <w:spacing w:before="9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413" w:val="left" w:leader="none"/>
        </w:tabs>
        <w:spacing w:line="240" w:lineRule="auto" w:before="1" w:after="0"/>
        <w:ind w:left="412" w:right="0" w:hanging="297"/>
        <w:jc w:val="left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Jogszabályok</w:t>
      </w:r>
    </w:p>
    <w:p>
      <w:pPr>
        <w:pStyle w:val="BodyText"/>
        <w:spacing w:before="3"/>
        <w:ind w:left="116"/>
        <w:bidi w:val="0"/>
      </w:pPr>
      <w:r>
        <w:rPr>
          <w:lang w:val="hu"/>
          <w:b w:val="1"/>
          <w:bCs w:val="1"/>
          <w:i w:val="0"/>
          <w:iCs w:val="0"/>
          <w:u w:val="none"/>
          <w:vertAlign w:val="baseline"/>
          <w:rtl w:val="0"/>
        </w:rPr>
        <w:t xml:space="preserve">Hulladék: </w:t>
      </w: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A termék és a csomagolási maradványok hulladéknak minősülnek, és a hatályos jogszabályoknak megfelelő kezelésre van szükség.</w:t>
      </w:r>
    </w:p>
    <w:p>
      <w:pPr>
        <w:pStyle w:val="BodyText"/>
        <w:spacing w:line="291" w:lineRule="exact"/>
        <w:ind w:left="116"/>
        <w:bidi w:val="0"/>
      </w:pPr>
      <w:r>
        <w:rPr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Termékbiztonsági adatlap kérésre rendelkezésre áll.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spacing w:before="0"/>
        <w:ind w:left="116" w:right="0" w:firstLine="0"/>
        <w:jc w:val="left"/>
        <w:rPr>
          <w:i/>
          <w:sz w:val="20"/>
        </w:rPr>
        <w:bidi w:val="0"/>
      </w:pPr>
      <w:r>
        <w:rPr>
          <w:sz w:val="20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Megjegyzés: </w:t>
      </w:r>
      <w:r>
        <w:rPr>
          <w:sz w:val="20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Mindezek az adatok általános jellegűek a termék használatának teljesítményére vonatkozóan, ezért ajánlott a terméket saját alkalmazási technológiájának feltételei mellett tesztelni.</w:t>
      </w:r>
    </w:p>
    <w:p>
      <w:pPr>
        <w:spacing w:before="0"/>
        <w:ind w:left="116" w:right="547" w:firstLine="0"/>
        <w:jc w:val="left"/>
        <w:rPr>
          <w:sz w:val="20"/>
        </w:rPr>
        <w:bidi w:val="0"/>
      </w:pPr>
      <w:r>
        <w:rPr>
          <w:sz w:val="20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A nem képzett személyzettel való munkavégzés, a nem megfelelő felületi előkészítés, a nem megfelelő felvivő eszközök használata vagy az ajánlottól eltérő körülmények közötti alkalmazás nem vonja maga után a gyártó felelősségét. </w:t>
      </w:r>
      <w:r>
        <w:rPr>
          <w:sz w:val="20"/>
          <w:lang w:val="hu"/>
          <w:b w:val="0"/>
          <w:bCs w:val="0"/>
          <w:i w:val="1"/>
          <w:iCs w:val="1"/>
          <w:u w:val="none"/>
          <w:vertAlign w:val="baseline"/>
          <w:rtl w:val="0"/>
        </w:rPr>
        <w:t xml:space="preserve">A további pontosítás érdekében javasoljuk, hogy forduljon a gyártóhoz</w:t>
      </w:r>
      <w:r>
        <w:rPr>
          <w:sz w:val="20"/>
          <w:lang w:val="hu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sectPr>
      <w:pgSz w:w="11910" w:h="16840"/>
      <w:pgMar w:header="266" w:footer="251" w:top="1600" w:bottom="440" w:left="13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alibri">
    <w:altName w:val="Calibri"/>
    <w:charset w:val="EE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  <w:bidi w:val="0"/>
    </w:pPr>
    <w:r>
      <w:rPr>
        <w:lang w:val="hu"/>
        <w:b w:val="0"/>
        <w:bCs w:val="0"/>
        <w:i w:val="0"/>
        <w:iCs w:val="0"/>
        <w:u w:val="none"/>
        <w:vertAlign w:val="baseline"/>
        <w:rtl w:val="0"/>
      </w:rPr>
      <w:pict>
        <v:shape style="position:absolute;margin-left:278.5pt;margin-top:818.463867pt;width:59.2pt;height:13.1pt;mso-position-horizontal-relative:page;mso-position-vertical-relative:page;z-index:-15835136" type="#_x0000_t202" id="docshape6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/>
                    <w:b/>
                    <w:sz w:val="20"/>
                  </w:rPr>
                  <w:bidi w:val="0"/>
                </w:pP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instrText> PAGE </w:instrText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fldChar w:fldCharType="separate"/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fldChar w:fldCharType="end"/>
                </w:r>
                <w:r>
                  <w:rPr>
                    <w:rFonts w:ascii="Times New Roman" w:hAnsi="Times New Roman"/>
                    <w:sz w:val="20"/>
                    <w:lang w:val="hu"/>
                    <w:b w:val="1"/>
                    <w:bCs w:val="1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 1/3. </w:t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oldal</w:t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instrText> NUMPAGES </w:instrText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fldChar w:fldCharType="separate"/>
                </w:r>
                <w:r>
                  <w:rPr>
                    <w:rFonts w:ascii="Times New Roman" w:hAnsi="Times New Roman"/>
                    <w:sz w:val="20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  <w:bidi w:val="0"/>
    </w:pPr>
    <w:r>
      <w:rPr>
        <w:lang w:val="hu"/>
        <w:b w:val="0"/>
        <w:bCs w:val="0"/>
        <w:i w:val="0"/>
        <w:iCs w:val="0"/>
        <w:u w:val="none"/>
        <w:vertAlign w:val="baseline"/>
        <w:rtl w:val="0"/>
      </w:rPr>
      <w:pict>
        <v:group style="position:absolute;margin-left:490.899994pt;margin-top:13.3pt;width:89.9pt;height:60.9pt;mso-position-horizontal-relative:page;mso-position-vertical-relative:page;z-index:-15836672" id="docshapegroup1" coordorigin="9818,266" coordsize="1798,1218">
          <v:shape style="position:absolute;left:9818;top:266;width:598;height:849" type="#_x0000_t75" id="docshape2" stroked="false">
            <v:imagedata r:id="rId1" o:title=""/>
          </v:shape>
          <v:shape style="position:absolute;left:11018;top:266;width:598;height:849" type="#_x0000_t75" id="docshape3" stroked="false">
            <v:imagedata r:id="rId2" o:title=""/>
          </v:shape>
          <v:shape style="position:absolute;left:10418;top:634;width:598;height:849" type="#_x0000_t75" id="docshape4" stroked="false">
            <v:imagedata r:id="rId3" o:title=""/>
          </v:shape>
          <w10:wrap type="none"/>
        </v:group>
      </w:pict>
    </w:r>
    <w:r>
      <w:rPr>
        <w:lang w:val="hu"/>
        <w:b w:val="0"/>
        <w:bCs w:val="0"/>
        <w:i w:val="0"/>
        <w:iCs w:val="0"/>
        <w:u w:val="none"/>
        <w:vertAlign w:val="baseline"/>
        <w:rtl w:val="0"/>
      </w:rPr>
      <w:drawing>
        <wp:anchor distT="0" distB="0" distL="0" distR="0" allowOverlap="1" layoutInCell="1" locked="0" behindDoc="1" simplePos="0" relativeHeight="487480320">
          <wp:simplePos x="0" y="0"/>
          <wp:positionH relativeFrom="page">
            <wp:posOffset>219075</wp:posOffset>
          </wp:positionH>
          <wp:positionV relativeFrom="page">
            <wp:posOffset>190500</wp:posOffset>
          </wp:positionV>
          <wp:extent cx="1691639" cy="751840"/>
          <wp:effectExtent l="0" t="0" r="0" b="0"/>
          <wp:wrapNone/>
          <wp:docPr id="1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91639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  <w:b w:val="0"/>
        <w:bCs w:val="0"/>
        <w:i w:val="0"/>
        <w:iCs w:val="0"/>
        <w:u w:val="none"/>
        <w:vertAlign w:val="baseline"/>
        <w:rtl w:val="0"/>
      </w:rPr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2.050003pt;margin-top:16.850pt;width:268.45pt;height:55.05pt;mso-position-horizontal-relative:page;mso-position-vertical-relative:page;z-index:-15835648" type="#_x0000_t202" id="docshape5" filled="false" stroked="false">
          <v:textbox inset="0,0,0,0">
            <w:txbxContent>
              <w:p>
                <w:pPr>
                  <w:spacing w:line="203" w:lineRule="exact" w:before="0"/>
                  <w:ind w:left="20" w:right="0" w:firstLine="0"/>
                  <w:jc w:val="left"/>
                  <w:rPr>
                    <w:sz w:val="18"/>
                  </w:rPr>
                  <w:bidi w:val="0"/>
                </w:pPr>
                <w:r>
                  <w:rPr>
                    <w:sz w:val="18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Comuna Mihăești, Sat Buleta, Str. Depozitelor nr. 5., jud. Vâlcea,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  <w:bidi w:val="0"/>
                </w:pPr>
                <w:r>
                  <w:rPr>
                    <w:sz w:val="18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Adószám RO4701754, Kereskedelem szám J38/999/1993, Alaptőke 103.560 lej </w:t>
                </w:r>
                <w:hyperlink r:id="rId5">
                  <w:r>
                    <w:rPr>
                      <w:sz w:val="18"/>
                      <w:lang w:val="hu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www.sarcom.ro, </w:t>
                  </w:r>
                </w:hyperlink>
                <w:r>
                  <w:rPr>
                    <w:sz w:val="18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e-mail: </w:t>
                </w:r>
                <w:hyperlink r:id="rId6">
                  <w:r>
                    <w:rPr>
                      <w:sz w:val="18"/>
                      <w:lang w:val="hu"/>
                      <w:b w:val="0"/>
                      <w:bCs w:val="0"/>
                      <w:i w:val="0"/>
                      <w:iCs w:val="0"/>
                      <w:u w:val="none"/>
                      <w:vertAlign w:val="baseline"/>
                      <w:rtl w:val="0"/>
                    </w:rPr>
                    <w:t xml:space="preserve">office@sarcom.ro</w:t>
                  </w:r>
                </w:hyperlink>
              </w:p>
              <w:p>
                <w:pPr>
                  <w:spacing w:before="1"/>
                  <w:ind w:left="20" w:right="0" w:firstLine="0"/>
                  <w:jc w:val="left"/>
                  <w:rPr>
                    <w:sz w:val="18"/>
                  </w:rPr>
                  <w:bidi w:val="0"/>
                </w:pPr>
                <w:r>
                  <w:rPr>
                    <w:sz w:val="18"/>
                    <w:lang w:val="hu"/>
                    <w:b w:val="0"/>
                    <w:bCs w:val="0"/>
                    <w:i w:val="0"/>
                    <w:iCs w:val="0"/>
                    <w:u w:val="none"/>
                    <w:vertAlign w:val="baseline"/>
                    <w:rtl w:val="0"/>
                  </w:rPr>
                  <w:t xml:space="preserve">Banca Transilvania fiók Vâlcea Számlaszám RO89BTRLRONCRT0277274301 Tel./Fax: 0250 772 562 / 0250 772 547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6" w:hanging="361"/>
        <w:jc w:val="righ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ro-RO" w:eastAsia="en-US" w:bidi="ar-SA"/>
      </w:rPr>
    </w:lvl>
    <w:lvl w:ilvl="1">
      <w:start w:val="0"/>
      <w:numFmt w:val="bullet"/>
      <w:lvlText w:val=""/>
      <w:lvlJc w:val="left"/>
      <w:pPr>
        <w:ind w:left="95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>
      <w:start w:val="0"/>
      <w:numFmt w:val="bullet"/>
      <w:lvlText w:val="-"/>
      <w:lvlJc w:val="left"/>
      <w:pPr>
        <w:ind w:left="1557" w:hanging="204"/>
      </w:pPr>
      <w:rPr>
        <w:rFonts w:hint="default" w:ascii="Calibri" w:hAnsi="Calibri" w:eastAsia="Calibri" w:cs="Calibri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16" w:hanging="20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672" w:hanging="20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28" w:hanging="20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84" w:hanging="20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840" w:hanging="20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896" w:hanging="204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116" w:hanging="241"/>
      <w:outlineLvl w:val="1"/>
    </w:pPr>
    <w:rPr>
      <w:rFonts w:ascii="Calibri" w:hAnsi="Calibri" w:eastAsia="Calibri" w:cs="Calibri"/>
      <w:b/>
      <w:bCs/>
      <w:sz w:val="24"/>
      <w:szCs w:val="24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36"/>
      <w:ind w:left="1274" w:right="1564"/>
      <w:jc w:val="center"/>
    </w:pPr>
    <w:rPr>
      <w:rFonts w:ascii="Calibri" w:hAnsi="Calibri" w:eastAsia="Calibri" w:cs="Calibri"/>
      <w:b/>
      <w:bCs/>
      <w:sz w:val="32"/>
      <w:szCs w:val="32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956" w:hanging="361"/>
    </w:pPr>
    <w:rPr>
      <w:rFonts w:ascii="Calibri" w:hAnsi="Calibri" w:eastAsia="Calibri" w:cs="Calibri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 w:line="222" w:lineRule="exact"/>
      <w:ind w:left="309"/>
    </w:pPr>
    <w:rPr>
      <w:rFonts w:ascii="Calibri" w:hAnsi="Calibri" w:eastAsia="Calibri" w:cs="Calibri"/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settings" Target="settings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numbering" Target="numbering.xml" 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hyperlink" TargetMode="External" Target="http://www.sarcom.ro/" /><Relationship Id="rId6" Type="http://schemas.openxmlformats.org/officeDocument/2006/relationships/hyperlink" TargetMode="External" Target="mailto:office@sarcom.ro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dcterms:created xsi:type="dcterms:W3CDTF">2025-02-27T15:38:24Z</dcterms:created>
  <dcterms:modified xsi:type="dcterms:W3CDTF">2025-02-27T15:38:24Z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